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pic="http://schemas.openxmlformats.org/drawingml/2006/picture" xmlns:wp="http://schemas.openxmlformats.org/drawingml/2006/wordprocessingDrawing" xmlns:a="http://schemas.openxmlformats.org/drawingml/2006/main" xmlns:w="http://schemas.openxmlformats.org/wordprocessingml/2006/main" xmlns:mc="http://schemas.openxmlformats.org/markup-compatibility/2006" mc:Ignorable="w14">
  <w:body>
    <w:p w14:paraId="6D23C03A">
      <w:pPr>
        <w:shd w:val="clear" w:color="auto" w:fill="E10600"/>
        <w:spacing w:line="400" w:lineRule="exact"/>
      </w:pPr>
      <w:r>
        <w:rPr>
          <w:sz w:val="16"/>
        </w:rPr>
        <w:t xml:space="preserve"> </w:t>
      </w:r>
    </w:p>
    <w:p w14:paraId="0F925687">
      <w:pPr>
        <w:jc w:val="center"/>
      </w:pPr>
    </w:p>
    <w:p w14:paraId="7C0E2A6B">
      <w:pPr>
        <w:jc w:val="center"/>
      </w:pPr>
    </w:p>
    <w:p w14:paraId="467E3F9C">
      <w:pPr>
        <w:jc w:val="center"/>
      </w:pPr>
    </w:p>
    <w:p w14:paraId="745B1D82">
      <w:pPr>
        <w:spacing w:after="120"/>
        <w:jc w:val="center"/>
      </w:pPr>
      <w:r>
        <w:rPr>
          <w:rFonts w:ascii="Arial Black" w:hAnsi="Arial Black" w:eastAsia="黑体"/>
          <w:b w:val="1"/>
          <w:i w:val="1"/>
          <w:color w:val="E10600"/>
          <w:sz w:val="96"/>
        </w:rPr>
        <w:t>FILA</w:t>
      </w:r>
    </w:p>
    <w:p w14:paraId="6687FC42">
      <w:pPr>
        <w:spacing w:after="600"/>
        <w:jc w:val="center"/>
      </w:pPr>
      <w:r>
        <w:rPr>
          <w:rFonts w:eastAsia="黑体"/>
          <w:b w:val="1"/>
          <w:color w:val="1F3864"/>
          <w:sz w:val="40"/>
        </w:rPr>
        <w:t>RMV</w:t>
      </w:r>
    </w:p>
    <w:p w14:paraId="09E56FE2">
      <w:pPr>
        <w:spacing w:before="120" w:after="200"/>
        <w:jc w:val="center"/>
      </w:pPr>
      <w:r>
        <w:rPr>
          <w:rFonts w:hint="eastAsia" w:eastAsia="黑体"/>
          <w:b w:val="1"/>
          <w:color w:val="1F3864"/>
          <w:sz w:val="56"/>
        </w:rPr>
        <w:t>澳門倉庫完整管理守則</w:t>
      </w:r>
    </w:p>
    <w:p w14:paraId="6DEBB2C9">
      <w:pPr>
        <w:pBdr/>
        <w:spacing w:after="800"/>
        <w:ind/>
        <w:jc w:val="center"/>
        <w:rPr>
          <w:rFonts w:eastAsia="楷体"/>
          <w:color w:val="595959"/>
          <w:sz w:val="28"/>
        </w:rPr>
      </w:pPr>
      <w:r>
        <w:rPr>
          <w:rFonts w:hint="eastAsia" w:eastAsia="楷体"/>
          <w:color w:val="595959"/>
          <w:sz w:val="28"/>
        </w:rPr>
        <w:t>倉庫管理制度 ・ 作業標準 ・ 操作手冊</w:t>
      </w:r>
    </w:p>
    <w:p w14:paraId="24D96A2E">
      <w:pPr>
        <w:pBdr/>
        <w:spacing w:after="800"/>
        <w:ind/>
        <w:jc w:val="center"/>
        <w:rPr>
          <w:rFonts w:hint="eastAsia" w:eastAsia="楷体"/>
          <w:color w:val="595959"/>
          <w:sz w:val="28"/>
        </w:rPr>
      </w:pPr>
      <w:r>
        <w:rPr>
          <w:rFonts w:hint="eastAsia" w:eastAsia="楷体"/>
          <w:color w:val="595959"/>
          <w:sz w:val="28"/>
        </w:rPr>
        <w:t>不要只做完一件事,要学会做好,做完每一件事,</w:t>
      </w:r>
    </w:p>
    <w:p w14:paraId="4201E6E6">
      <w:pPr>
        <w:pBdr>
          <w:bottom/>
        </w:pBdr>
        <w:spacing w:after="800"/>
        <w:ind/>
        <w:jc w:val="center"/>
        <w:rPr>
          <w:rFonts w:hint="eastAsia" w:eastAsia="楷体"/>
          <w:color w:val="595959"/>
          <w:sz w:val="28"/>
        </w:rPr>
      </w:pPr>
      <w:r>
        <w:rPr>
          <w:rFonts w:hint="eastAsia" w:eastAsia="楷体"/>
          <w:color w:val="595959"/>
          <w:sz w:val="28"/>
        </w:rPr>
        <w:t>高标准，高执行力，有效益，有態度，説到做到</w:t>
      </w:r>
    </w:p>
    <w:p w14:paraId="5E03EF6D">
      <w:pPr>
        <w:spacing w:after="160"/>
        <w:jc w:val="center"/>
      </w:pPr>
      <w:r>
        <w:rPr>
          <w:rFonts w:hint="eastAsia" w:eastAsia="黑体"/>
          <w:b w:val="1"/>
          <w:color w:val="1F3864"/>
        </w:rPr>
        <w:t>適用範圍：</w:t>
      </w:r>
      <w:r>
        <w:rPr>
          <w:rFonts w:hint="eastAsia"/>
          <w:color w:val="262626"/>
        </w:rPr>
        <w:t>澳門區倉庫（RMV）全體員工</w:t>
      </w:r>
    </w:p>
    <w:p w14:paraId="58051BB0">
      <w:pPr>
        <w:spacing w:after="160"/>
        <w:jc w:val="center"/>
        <w:rPr>
          <w:rFonts w:hint="eastAsia"/>
          <w:lang w:eastAsia="zh-CN"/>
        </w:rPr>
      </w:pPr>
      <w:r>
        <w:rPr>
          <w:rFonts w:hint="eastAsia" w:eastAsia="黑体"/>
          <w:b w:val="1"/>
          <w:color w:val="1F3864"/>
        </w:rPr>
        <w:t>版本：</w:t>
      </w:r>
      <w:r>
        <w:rPr>
          <w:color w:val="262626"/>
        </w:rPr>
        <w:t>V</w:t>
      </w:r>
      <w:r>
        <w:rPr>
          <w:rFonts w:hint="eastAsia"/>
          <w:color w:val="262626"/>
          <w:lang w:eastAsia="zh-CN"/>
        </w:rPr>
        <w:t>1</w:t>
      </w:r>
      <w:r>
        <w:rPr>
          <w:color w:val="262626"/>
        </w:rPr>
        <w:t>.</w:t>
      </w:r>
      <w:r>
        <w:rPr>
          <w:rFonts w:hint="eastAsia"/>
          <w:color w:val="262626"/>
          <w:lang w:eastAsia="zh-CN"/>
        </w:rPr>
        <w:t>0</w:t>
      </w:r>
    </w:p>
    <w:p w14:paraId="570408C7">
      <w:pPr>
        <w:spacing w:after="160"/>
        <w:jc w:val="center"/>
      </w:pPr>
      <w:r>
        <w:rPr>
          <w:rFonts w:hint="eastAsia" w:eastAsia="黑体"/>
          <w:b w:val="1"/>
          <w:color w:val="1F3864"/>
        </w:rPr>
        <w:t>生效日期：</w:t>
      </w:r>
      <w:r>
        <w:rPr>
          <w:rFonts w:hint="eastAsia"/>
          <w:color w:val="262626"/>
          <w:lang w:eastAsia="zh-CN"/>
        </w:rPr>
        <w:t>2026</w:t>
      </w:r>
      <w:r>
        <w:rPr>
          <w:rFonts w:hint="eastAsia"/>
          <w:color w:val="262626"/>
        </w:rPr>
        <w:t>年</w:t>
      </w:r>
      <w:r>
        <w:rPr>
          <w:rFonts w:hint="eastAsia"/>
          <w:color w:val="262626"/>
        </w:rPr>
        <w:t>09</w:t>
      </w:r>
      <w:r>
        <w:rPr>
          <w:rFonts w:hint="eastAsia"/>
          <w:color w:val="262626"/>
        </w:rPr>
        <w:t>月</w:t>
      </w:r>
      <w:r>
        <w:rPr>
          <w:rFonts w:hint="eastAsia"/>
          <w:color w:val="262626"/>
        </w:rPr>
        <w:t>22</w:t>
      </w:r>
      <w:r>
        <w:rPr>
          <w:rFonts w:hint="eastAsia"/>
          <w:color w:val="262626"/>
        </w:rPr>
        <w:t>日</w:t>
      </w:r>
    </w:p>
    <w:p w14:paraId="50D18BF7">
      <w:pPr>
        <w:jc w:val="center"/>
      </w:pPr>
    </w:p>
    <w:p w14:paraId="6E878A29">
      <w:pPr>
        <w:shd w:val="clear" w:color="auto" w:fill="E10600"/>
        <w:spacing w:line="400" w:lineRule="exact"/>
      </w:pPr>
    </w:p>
    <w:p w14:paraId="60CC393C">
      <w:pPr>
        <w:sectPr w:rsidR="00D43ACA"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14:paraId="15BC93D5">
      <w:pPr>
        <w:pStyle w:val="00001c"/>
        <w:spacing w:before="120" w:after="360"/>
        <w:jc w:val="center"/>
      </w:pPr>
      <w:r>
        <w:rPr>
          <w:rFonts w:hint="eastAsia" w:ascii="Arial" w:hAnsi="Arial" w:eastAsia="黑体"/>
          <w:b w:val="1"/>
          <w:color w:val="1F3864"/>
          <w:sz w:val="44"/>
        </w:rPr>
        <w:t>目　錄</w:t>
      </w:r>
    </w:p>
    <w:p w14:paraId="1A4EABC1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fldChar w:fldCharType="begin" w:fldLock="0" w:dirty="0"/>
      </w:r>
      <w:r>
        <w:instrText>HYPERLINK \l "_Toc240846170"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1. 總則與工作原則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_Toc240846170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571FCDA6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"_Toc240846171"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2. 考勤、用膳與崗位作業要求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_Toc240846171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7A213E88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"_Toc240846172"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2.1 用膳規則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_Toc240846172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6868D074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"_Toc240846173"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2.2 B1倉補貨要求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_Toc240846173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1811E575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"_Toc240846174"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2.3 水貨整理與任務提交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_Toc240846174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2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019C81E4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"_Toc240846175"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2.4 返貨作業崗位紀律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_Toc240846175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2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6C2FA6C5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"_Toc240846176"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3. 倉庫日常工作內容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_Toc240846176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2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7B1DD471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"_Toc240846177"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3.1 收貨</w:t>
      </w:r>
      <w:r>
        <w:rPr>
          <w:rFonts w:hint="eastAsia" w:eastAsia="黑体"/>
          <w:noProof w:val="1"/>
        </w:rPr>
        <w:t>驗收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_Toc240846177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2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426BE89D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"_Toc240846178"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3.2 走貨出貨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_Toc240846178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2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40C7A8B9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"_Toc240846179"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3.3 水貨整理上架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_Toc240846179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2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46A0AB4E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"_Toc240846180"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3.4 B1倉補貨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_Toc240846180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2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1CD8B0F8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"_Toc240846181"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3.5 貨品盤點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_Toc240846181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2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4009E792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"_Toc240846182"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3.6 環境維護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_Toc240846182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3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57059ED5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"_Toc240846183"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4. 貨品分類、編碼與倉儲擺放標準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_Toc240846183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3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0DAB4692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"_Toc240846184"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4.1 貨品大分類代碼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_Toc240846184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3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7EBF05CF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"_Toc240846185"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4.2 子系列對照表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_Toc240846185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3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014ECDF0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"_Toc240846186"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4.3 服裝款式代碼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_Toc240846186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3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473F2DDA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"_Toc240846187"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4.4 倉庫貨品擺放標準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_Toc240846187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4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5DCEF0D7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"_Toc240846188"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5. 服裝水貨折疊、包裝規範（正確&amp;錯誤示範）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_Toc240846188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4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66FA5BF1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"_Toc240846189"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標準折疊適用品類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_Toc240846189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5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2DA625B6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"_Toc240846190"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正確示範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_Toc240846190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5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5A0185F1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"_Toc240846191"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禁止錯誤示範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_Toc240846191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6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077C4BB1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"_Toc240846192"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作業要求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_Toc240846192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7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4670704F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"_Toc240846193"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6. B1倉文具物料管理規範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_Toc240846193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7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62916A94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"_Toc240846194"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7. 單據、文書處理作業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_Toc240846194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8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7FB28E79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"_Toc240846195"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7.1 Sales Memo 處理規範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_Toc240846195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8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0010A894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"_Toc240846196"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7.2 後殘壞貨處理流程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_Toc240846196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8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1A1FE98B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"_Toc240846197"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8. 新零售RFID手持機作業規範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_Toc240846197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9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554F40AE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"_Toc240846198"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8.1 門店收貨操作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_Toc240846198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9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5C7129C5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"_Toc240846199"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8.2 特殊收貨：零驗收 &amp; 短收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_Toc240846199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9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7C5C5B08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"_Toc240846200"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8.3 發貨單據修改操作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_Toc240846200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10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7E1D3465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"_Toc240846201"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8.4 手持機常見報錯、設置、異常處理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_Toc240846201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10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416FF583">
      <w:pPr>
        <w:pStyle w:val="0000ac"/>
        <w:tabs>
          <w:tab w:val="right" w:leader="dot" w:pos="9062"/>
        </w:tabs>
        <w:ind w:left="480"/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"_Toc240846202"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8.5 門店指令轉貨（自營店調撥）完整4步流程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_Toc240846202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10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7F2A6EF0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"_Toc240846203"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9. 盤點機（PDA）程序報錯處理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_Toc240846203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11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19EEF0EA">
      <w:pPr>
        <w:pStyle w:val="0000ab"/>
        <w:tabs>
          <w:tab w:val="right" w:leader="dot" w:pos="9062"/>
        </w:tabs>
        <w:rPr>
          <w:rFonts w:asciiTheme="minorHAnsi" w:hAnsiTheme="minorHAnsi" w:eastAsiaTheme="minorEastAsia"/>
          <w:noProof w:val="1"/>
          <w:kern w:val="2"/>
          <w:sz w:val="22"/>
          <w:szCs w:val="24"/>
          <w:lang w:eastAsia="zh-CN"/>
        </w:rPr>
      </w:pPr>
      <w:r>
        <w:fldChar w:fldCharType="begin" w:fldLock="0" w:dirty="0"/>
      </w:r>
      <w:r>
        <w:instrText>HYPERLINK \l "_Toc240846204"</w:instrText>
      </w:r>
      <w:r>
        <w:fldChar w:fldCharType="separate" w:fldLock="0" w:dirty="0"/>
      </w:r>
      <w:r>
        <w:rPr>
          <w:rStyle w:val="0000ad"/>
          <w:rFonts w:hint="eastAsia" w:eastAsia="黑体"/>
          <w:noProof w:val="1"/>
        </w:rPr>
        <w:t>10. 違規處理機制</w:t>
      </w:r>
      <w:r>
        <w:rPr>
          <w:rFonts w:hint="eastAsia"/>
          <w:noProof w:val="1"/>
          <w:webHidden w:val="1"/>
        </w:rPr>
        <w:tab/>
      </w:r>
      <w:r>
        <w:rPr>
          <w:rFonts w:hint="eastAsia"/>
          <w:noProof w:val="1"/>
          <w:webHidden w:val="1"/>
        </w:rPr>
        <w:fldChar w:fldCharType="begin"/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noProof w:val="1"/>
          <w:webHidden w:val="1"/>
        </w:rPr>
        <w:t>PAGEREF _Toc240846204 \h</w:t>
      </w:r>
      <w:r>
        <w:rPr>
          <w:rFonts w:hint="eastAsia"/>
          <w:noProof w:val="1"/>
          <w:webHidden w:val="1"/>
        </w:rPr>
        <w:instrText xml:space="preserve"> </w:instrText>
      </w:r>
      <w:r>
        <w:rPr>
          <w:rFonts w:hint="eastAsia"/>
          <w:noProof w:val="1"/>
          <w:webHidden w:val="1"/>
        </w:rPr>
        <w:fldChar w:fldCharType="separate"/>
      </w:r>
      <w:r>
        <w:rPr>
          <w:noProof w:val="1"/>
          <w:webHidden w:val="1"/>
        </w:rPr>
        <w:t>11</w:t>
      </w:r>
      <w:r>
        <w:rPr>
          <w:rFonts w:hint="eastAsia"/>
          <w:noProof w:val="1"/>
          <w:webHidden w:val="1"/>
        </w:rPr>
        <w:fldChar w:fldCharType="end"/>
      </w:r>
      <w:r>
        <w:fldChar w:fldCharType="end" w:fldLock="0" w:dirty="0"/>
      </w:r>
    </w:p>
    <w:p w14:paraId="61EC088F">
      <w:pPr>
        <w:spacing w:line="240" w:lineRule="auto"/>
      </w:pPr>
      <w:r>
        <w:fldChar w:fldCharType="end"/>
      </w:r>
    </w:p>
    <w:p w14:paraId="37114F8F">
      <w:pPr>
        <w:sectPr w:rsidR="00D43ACA"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14:paraId="2E25F339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bookmarkStart w:id="1" w:name="_Toc240846170"/>
      <w:r>
        <w:rPr>
          <w:rFonts w:hint="eastAsia" w:ascii="Arial" w:hAnsi="Arial" w:eastAsia="黑体"/>
        </w:rPr>
        <w:t>1. 總則與工作原則</w:t>
      </w:r>
      <w:bookmarkEnd w:id="1"/>
    </w:p>
    <w:p w14:paraId="00F0961F">
      <w:pPr>
        <w:jc w:val="both"/>
      </w:pPr>
      <w:r>
        <w:rPr>
          <w:b w:val="1"/>
          <w:color w:val="1F3864"/>
        </w:rPr>
        <w:t xml:space="preserve">1.1 </w:t>
      </w:r>
      <w:r>
        <w:rPr>
          <w:rFonts w:hint="eastAsia"/>
          <w:color w:val="262626"/>
        </w:rPr>
        <w:t>工作期間嚴禁長時間瀏覽手機、佩戴耳機，不得長時間駐坐崗位、怠忽職守。</w:t>
      </w:r>
    </w:p>
    <w:p w14:paraId="28BBD085">
      <w:pPr>
        <w:jc w:val="both"/>
      </w:pPr>
      <w:r>
        <w:rPr>
          <w:b w:val="1"/>
          <w:color w:val="1F3864"/>
        </w:rPr>
        <w:t xml:space="preserve">1.2 </w:t>
      </w:r>
      <w:r>
        <w:rPr>
          <w:rFonts w:hint="eastAsia"/>
          <w:color w:val="262626"/>
        </w:rPr>
        <w:t>全體倉庫員工</w:t>
      </w:r>
      <w:r>
        <w:rPr>
          <w:rFonts w:hint="eastAsia"/>
          <w:color w:val="262626"/>
        </w:rPr>
        <w:t>及兼職</w:t>
      </w:r>
      <w:r>
        <w:rPr>
          <w:rFonts w:hint="eastAsia"/>
          <w:color w:val="262626"/>
        </w:rPr>
        <w:t>必須嚴格遵守倉庫各項管理制度及澳門區營運規範。</w:t>
      </w:r>
    </w:p>
    <w:p w14:paraId="483B4D11">
      <w:pPr>
        <w:jc w:val="both"/>
      </w:pPr>
      <w:r>
        <w:rPr>
          <w:b w:val="1"/>
          <w:color w:val="1F3864"/>
        </w:rPr>
        <w:t xml:space="preserve">1.3 </w:t>
      </w:r>
      <w:r>
        <w:rPr>
          <w:rFonts w:hint="eastAsia"/>
          <w:color w:val="262626"/>
        </w:rPr>
        <w:t>工作期</w:t>
      </w:r>
      <w:r>
        <w:rPr>
          <w:rFonts w:hint="eastAsia"/>
          <w:color w:val="262626"/>
        </w:rPr>
        <w:t>間遇任何突發狀況、疑難問題，必須即時向</w:t>
      </w:r>
      <w:r>
        <w:rPr>
          <w:rFonts w:hint="eastAsia"/>
          <w:color w:val="262626"/>
        </w:rPr>
        <w:t>In Charge</w:t>
      </w:r>
      <w:r>
        <w:rPr>
          <w:rFonts w:hint="eastAsia"/>
          <w:color w:val="262626"/>
        </w:rPr>
        <w:t>及時匯報，不得私自處理、隱瞞問題。</w:t>
      </w:r>
    </w:p>
    <w:p w14:paraId="260866D9">
      <w:pPr>
        <w:jc w:val="both"/>
      </w:pPr>
      <w:r>
        <w:rPr>
          <w:b w:val="1"/>
          <w:color w:val="1F3864"/>
        </w:rPr>
        <w:t xml:space="preserve">1.4 </w:t>
      </w:r>
      <w:r>
        <w:rPr>
          <w:rFonts w:hint="eastAsia"/>
          <w:color w:val="262626"/>
        </w:rPr>
        <w:t>所有倉庫</w:t>
      </w:r>
      <w:r>
        <w:rPr>
          <w:rFonts w:hint="eastAsia"/>
          <w:color w:val="262626"/>
        </w:rPr>
        <w:t>工作</w:t>
      </w:r>
      <w:r>
        <w:rPr>
          <w:rFonts w:hint="eastAsia"/>
          <w:color w:val="262626"/>
        </w:rPr>
        <w:t>須完全依照標準流程執行，禁止隨意簡化、更改</w:t>
      </w:r>
      <w:r>
        <w:rPr>
          <w:rFonts w:hint="eastAsia"/>
          <w:color w:val="262626"/>
        </w:rPr>
        <w:t>作業</w:t>
      </w:r>
      <w:r>
        <w:rPr>
          <w:rFonts w:hint="eastAsia"/>
          <w:color w:val="262626"/>
        </w:rPr>
        <w:t>步驟。</w:t>
      </w:r>
    </w:p>
    <w:p w14:paraId="2B5E5093">
      <w:pPr>
        <w:jc w:val="both"/>
      </w:pPr>
      <w:r>
        <w:rPr>
          <w:b w:val="1"/>
          <w:color w:val="1F3864"/>
        </w:rPr>
        <w:t xml:space="preserve">1.5 </w:t>
      </w:r>
      <w:r>
        <w:rPr>
          <w:rFonts w:hint="eastAsia"/>
          <w:color w:val="262626"/>
        </w:rPr>
        <w:t>作業以品質為先，不僅完成基礎動作，必須確保每項作業符合標準、零失誤。</w:t>
      </w:r>
    </w:p>
    <w:p w14:paraId="5C45E4A7">
      <w:pPr>
        <w:jc w:val="both"/>
      </w:pPr>
      <w:r>
        <w:rPr>
          <w:b w:val="1"/>
          <w:color w:val="1F3864"/>
        </w:rPr>
        <w:t xml:space="preserve">1.6 </w:t>
      </w:r>
      <w:r>
        <w:rPr>
          <w:rFonts w:hint="eastAsia"/>
          <w:color w:val="262626"/>
        </w:rPr>
        <w:t>工作必須有始有終，認真做好崗位交接工作，落實個人崗位責任，不推卸、不積壓工作。</w:t>
      </w:r>
    </w:p>
    <w:p w14:paraId="0061BEED">
      <w:pPr>
        <w:jc w:val="both"/>
      </w:pPr>
      <w:r>
        <w:rPr>
          <w:b w:val="1"/>
          <w:color w:val="1F3864"/>
        </w:rPr>
        <w:t xml:space="preserve">1.7 </w:t>
      </w:r>
      <w:r>
        <w:rPr>
          <w:rFonts w:hint="eastAsia"/>
          <w:color w:val="262626"/>
        </w:rPr>
        <w:t>每日收工前，須完成當日工作交接，詳細記錄當日工作進度、完成事項及待處理事項。</w:t>
      </w:r>
    </w:p>
    <w:p w14:paraId="40E63EEC">
      <w:pPr>
        <w:pBdr>
          <w:top w:val="single" w:color="D9D9D9" w:sz="4" w:space="4"/>
          <w:left w:val="single" w:color="E10600" w:sz="24" w:space="4"/>
          <w:bottom w:val="single" w:color="D9D9D9" w:sz="4" w:space="4"/>
          <w:right w:val="single" w:color="D9D9D9" w:sz="4" w:space="4"/>
        </w:pBdr>
        <w:shd w:val="clear" w:color="auto" w:fill="F2F2F2"/>
        <w:spacing w:before="120" w:after="120" w:line="336" w:lineRule="auto"/>
        <w:jc w:val="both"/>
      </w:pPr>
      <w:r>
        <w:rPr>
          <w:rFonts w:hint="eastAsia" w:eastAsia="黑体"/>
          <w:b w:val="1"/>
          <w:color w:val="1F3864"/>
        </w:rPr>
        <w:t>備註：</w:t>
      </w:r>
      <w:r>
        <w:rPr>
          <w:rFonts w:hint="eastAsia"/>
          <w:color w:val="262626"/>
        </w:rPr>
        <w:t>多次違反以上規章者，輕則發出書面警告信；情節嚴重、影響倉庫正常營運者，將予以辭退處理。</w:t>
      </w:r>
    </w:p>
    <w:p w14:paraId="25BF344D">
      <w:pPr>
        <w:pStyle w:val="000002"/>
        <w:pBdr>
          <w:left w:val="nil"/>
          <w:right w:val="nil"/>
        </w:pBdr>
        <w:spacing w:before="360" w:after="200"/>
        <w:ind/>
        <w:rPr>
          <w:rFonts w:hint="eastAsia" w:ascii="Arial" w:hAnsi="Arial" w:eastAsia="黑体"/>
        </w:rPr>
      </w:pPr>
      <w:bookmarkStart w:id="2" w:name="_Toc240846171"/>
      <w:r>
        <w:rPr>
          <w:rFonts w:hint="eastAsia" w:ascii="Arial" w:hAnsi="Arial" w:eastAsia="黑体"/>
        </w:rPr>
        <w:t>1.1上班時間</w:t>
      </w:r>
    </w:p>
    <w:p w14:paraId="47C85071">
      <w:pPr>
        <w:pStyle w:val="000001"/>
        <w:pBdr>
          <w:left w:val="nil"/>
          <w:right w:val="nil"/>
        </w:pBdr>
        <w:spacing w:before="360" w:after="200"/>
        <w:ind/>
      </w:pPr>
    </w:p>
    <w:tbl>
      <w:tblPr>
        <w:tblStyle w:val="000048"/>
        <w:tblW w:w="0" w:type="auto"/>
        <w:jc w:val="center"/>
        <w:tblLayout w:type="fixed"/>
        <w:tblLook w:firstRow="1" w:lastRow="0" w:firstColumn="1" w:lastColumn="0" w:noHBand="0" w:noVBand="1" w:val="04A0"/>
      </w:tblPr>
      <w:tblGrid>
        <w:gridCol w:w="3402"/>
        <w:gridCol w:w="3402"/>
      </w:tblGrid>
      <w:tr>
        <w:trPr>
          <w:wBefore/>
          <w:cantSplit w:val="1"/>
          <w:trHeight/>
          <w:jc w:val="center"/>
        </w:trPr>
        <w:tc>
          <w:tcPr>
            <w:tcW w:w="3402" w:type="dxa"/>
            <w:shd w:val="clear" w:color="auto" w:fill="D9D9D9"/>
            <w:vAlign w:val="center"/>
          </w:tcPr>
          <w:p w14:paraId="3E974E3F">
            <w:pPr>
              <w:numPr/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b w:val="1"/>
                <w:color w:val="262626"/>
                <w:sz w:val="21"/>
              </w:rPr>
              <w:t>班次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6927BFE2">
            <w:pPr>
              <w:numPr/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b w:val="1"/>
                <w:color w:val="262626"/>
                <w:sz w:val="21"/>
              </w:rPr>
              <w:t>標準時間</w:t>
            </w:r>
          </w:p>
        </w:tc>
      </w:tr>
      <w:tr>
        <w:trPr>
          <w:wBefore/>
          <w:cantSplit w:val="1"/>
          <w:trHeight/>
          <w:jc w:val="center"/>
        </w:trPr>
        <w:tc>
          <w:tcPr>
            <w:tcW w:w="3402" w:type="dxa"/>
            <w:vAlign w:val="center"/>
          </w:tcPr>
          <w:p w14:paraId="60C85F24">
            <w:pPr>
              <w:numPr/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color w:val="262626"/>
                <w:sz w:val="21"/>
              </w:rPr>
              <w:t>A</w:t>
            </w:r>
          </w:p>
        </w:tc>
        <w:tc>
          <w:tcPr>
            <w:tcW w:w="3402" w:type="dxa"/>
            <w:vAlign w:val="center"/>
          </w:tcPr>
          <w:p w14:paraId="3D4836B7">
            <w:pPr>
              <w:numPr/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color w:val="262626"/>
                <w:sz w:val="21"/>
              </w:rPr>
              <w:t>10</w:t>
            </w:r>
            <w:r>
              <w:rPr>
                <w:color w:val="262626"/>
                <w:sz w:val="21"/>
              </w:rPr>
              <w:t>:00</w:t>
            </w:r>
          </w:p>
        </w:tc>
      </w:tr>
      <w:tr>
        <w:trPr>
          <w:wBefore/>
          <w:cantSplit w:val="1"/>
          <w:trHeight/>
          <w:jc w:val="center"/>
        </w:trPr>
        <w:tc>
          <w:tcPr>
            <w:tcW w:w="3402" w:type="dxa"/>
            <w:vAlign w:val="center"/>
          </w:tcPr>
          <w:p w14:paraId="346D40F5">
            <w:pPr>
              <w:numPr/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color w:val="262626"/>
                <w:sz w:val="21"/>
              </w:rPr>
              <w:t>B</w:t>
            </w:r>
          </w:p>
        </w:tc>
        <w:tc>
          <w:tcPr>
            <w:tcW w:w="3402" w:type="dxa"/>
            <w:vAlign w:val="center"/>
          </w:tcPr>
          <w:p w14:paraId="00F54000">
            <w:pPr>
              <w:numPr/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color w:val="262626"/>
                <w:sz w:val="21"/>
              </w:rPr>
              <w:t>11</w:t>
            </w:r>
            <w:r>
              <w:rPr>
                <w:color w:val="262626"/>
                <w:sz w:val="21"/>
              </w:rPr>
              <w:t>:</w:t>
            </w:r>
            <w:r>
              <w:rPr>
                <w:rFonts w:hint="eastAsia"/>
                <w:color w:val="262626"/>
                <w:sz w:val="21"/>
              </w:rPr>
              <w:t>30</w:t>
            </w:r>
          </w:p>
        </w:tc>
      </w:tr>
      <w:tr>
        <w:trPr>
          <w:wBefore/>
          <w:cantSplit w:val="1"/>
          <w:trHeight w:val="332" w:hRule="atLeast"/>
          <w:jc w:val="center"/>
        </w:trPr>
        <w:tc>
          <w:tcPr>
            <w:tcW w:w="3402" w:type="dxa"/>
            <w:vAlign w:val="center"/>
          </w:tcPr>
          <w:p w14:paraId="3B249D0F">
            <w:pPr>
              <w:numPr/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color w:val="262626"/>
                <w:sz w:val="21"/>
              </w:rPr>
              <w:t>SPM</w:t>
            </w:r>
          </w:p>
        </w:tc>
        <w:tc>
          <w:tcPr>
            <w:tcW w:w="3402" w:type="dxa"/>
            <w:vAlign w:val="center"/>
          </w:tcPr>
          <w:p w14:paraId="17AC65BC">
            <w:pPr>
              <w:numPr/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color w:val="262626"/>
                <w:sz w:val="21"/>
              </w:rPr>
              <w:t>11</w:t>
            </w:r>
            <w:r>
              <w:rPr>
                <w:color w:val="262626"/>
                <w:sz w:val="21"/>
              </w:rPr>
              <w:t>:00</w:t>
            </w:r>
          </w:p>
        </w:tc>
      </w:tr>
      <w:tr>
        <w:trPr>
          <w:wBefore/>
          <w:cantSplit w:val="1"/>
          <w:trHeight/>
          <w:jc w:val="center"/>
        </w:trPr>
        <w:tc>
          <w:tcPr>
            <w:tcW w:w="3402" w:type="dxa"/>
            <w:vAlign w:val="center"/>
          </w:tcPr>
          <w:p w14:paraId="0F4BD47A">
            <w:pPr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C</w:t>
            </w:r>
          </w:p>
        </w:tc>
        <w:tc>
          <w:tcPr>
            <w:tcW w:w="3402" w:type="dxa"/>
            <w:vAlign w:val="center"/>
          </w:tcPr>
          <w:p w14:paraId="5BB86CE4">
            <w:pPr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13:30</w:t>
            </w:r>
          </w:p>
        </w:tc>
      </w:tr>
      <w:tr>
        <w:trPr>
          <w:wBefore/>
          <w:cantSplit w:val="1"/>
          <w:trHeight/>
          <w:jc w:val="center"/>
        </w:trPr>
        <w:tc>
          <w:tcPr>
            <w:tcW w:w="3402" w:type="dxa"/>
            <w:vAlign w:val="center"/>
          </w:tcPr>
          <w:p w14:paraId="529CC2DA">
            <w:pPr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E</w:t>
            </w:r>
          </w:p>
        </w:tc>
        <w:tc>
          <w:tcPr>
            <w:tcW w:w="3402" w:type="dxa"/>
            <w:vAlign w:val="center"/>
          </w:tcPr>
          <w:p w14:paraId="2F15434D">
            <w:pPr>
              <w:spacing w:before="40" w:after="40" w:line="240" w:lineRule="auto"/>
              <w:ind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14:00</w:t>
            </w:r>
          </w:p>
        </w:tc>
      </w:tr>
    </w:tbl>
    <w:p w14:paraId="68174D7A">
      <w:pPr>
        <w:pStyle w:val="000001"/>
        <w:pBdr>
          <w:left w:val="nil"/>
          <w:right w:val="nil"/>
        </w:pBdr>
        <w:spacing w:before="360" w:after="200"/>
        <w:ind/>
        <w:rPr>
          <w:rFonts w:hint="eastAsia"/>
        </w:rPr>
      </w:pPr>
      <w:r>
        <w:rPr>
          <w:rFonts w:hint="eastAsia"/>
        </w:rPr>
        <w:t>以上為上班時間,每日要留日群組可能Update最新更紙.</w:t>
      </w:r>
    </w:p>
    <w:p w14:paraId="3A32CF31">
      <w:pPr>
        <w:pStyle w:val="000001"/>
        <w:pBdr>
          <w:left w:val="nil"/>
          <w:right w:val="nil"/>
        </w:pBdr>
        <w:spacing w:before="360" w:after="200"/>
        <w:ind/>
        <w:rPr>
          <w:rFonts w:hint="eastAsia"/>
        </w:rPr>
      </w:pPr>
      <w:r>
        <w:rPr>
          <w:rFonts w:hint="eastAsia"/>
        </w:rPr>
        <w:t>一日打4次卡，上班1次,食飯1次，食完飯1次，收工1次</w:t>
      </w:r>
    </w:p>
    <w:p w14:paraId="14ED4F55">
      <w:pPr>
        <w:pStyle w:val="000001"/>
        <w:pBdr>
          <w:left w:val="nil"/>
          <w:right w:val="nil"/>
        </w:pBdr>
        <w:spacing w:before="360" w:after="200"/>
        <w:ind/>
        <w:rPr>
          <w:rFonts w:hint="eastAsia"/>
        </w:rPr>
      </w:pPr>
      <w:r>
        <w:rPr>
          <w:rFonts w:hint="eastAsia"/>
        </w:rPr>
        <w:t>返工可提前幾分鐘打卡但是遲於上班時間即為遲到。</w:t>
      </w:r>
    </w:p>
    <w:p w14:paraId="5C08BFBF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r>
        <w:rPr>
          <w:rFonts w:hint="eastAsia" w:ascii="Arial" w:hAnsi="Arial" w:eastAsia="黑体"/>
        </w:rPr>
        <w:t>2. 考勤、用膳與崗位作業要求</w:t>
      </w:r>
      <w:bookmarkEnd w:id="2"/>
    </w:p>
    <w:p w14:paraId="56B0ECB5">
      <w:pPr>
        <w:pStyle w:val="000004"/>
        <w:spacing w:after="80"/>
      </w:pPr>
      <w:bookmarkStart w:id="3" w:name="_Toc240846172"/>
      <w:r>
        <w:rPr>
          <w:rFonts w:hint="eastAsia" w:ascii="Arial" w:hAnsi="Arial" w:eastAsia="黑体"/>
        </w:rPr>
        <w:t>2.1 用膳規則</w:t>
      </w:r>
      <w:bookmarkEnd w:id="3"/>
    </w:p>
    <w:p w14:paraId="5C75D24A">
      <w:pPr>
        <w:pStyle w:val="00002b"/>
        <w:jc w:val="both"/>
      </w:pPr>
      <w:r>
        <w:rPr>
          <w:rFonts w:hint="eastAsia"/>
          <w:color w:val="262626"/>
        </w:rPr>
        <w:t>員工可選擇留崗不作用膳休息，但須按公司規定時間正常打卡，不另行補償休息時長；如遇大宗返貨，員工用膳安排由當日負責人（in-charge）統一調配。</w:t>
      </w:r>
    </w:p>
    <w:p w14:paraId="2F11485C">
      <w:pPr>
        <w:pStyle w:val="00002b"/>
        <w:jc w:val="both"/>
      </w:pPr>
      <w:r>
        <w:rPr>
          <w:rFonts w:hint="eastAsia"/>
          <w:color w:val="262626"/>
        </w:rPr>
        <w:t>各班次標準用膳時間如下：</w:t>
      </w:r>
    </w:p>
    <w:p w14:paraId="4511C557">
      <w:pPr>
        <w:keepNext w:val="1"/>
        <w:spacing w:before="120" w:after="80" w:line="240" w:lineRule="auto"/>
        <w:jc w:val="center"/>
      </w:pPr>
      <w:r>
        <w:rPr>
          <w:rFonts w:hint="eastAsia" w:eastAsia="黑体"/>
          <w:b w:val="1"/>
          <w:color w:val="1F3864"/>
          <w:sz w:val="21"/>
        </w:rPr>
        <w:t>表1 各班次標準用膳時間</w:t>
      </w:r>
    </w:p>
    <w:tbl>
      <w:tblPr>
        <w:tblStyle w:val="000048"/>
        <w:tblW w:w="0" w:type="auto"/>
        <w:jc w:val="center"/>
        <w:tblLayout w:type="fixed"/>
        <w:tblLook w:firstRow="1" w:lastRow="0" w:firstColumn="1" w:lastColumn="0" w:noHBand="0" w:noVBand="1" w:val="04A0"/>
      </w:tblPr>
      <w:tblGrid>
        <w:gridCol w:w="3402"/>
        <w:gridCol w:w="3402"/>
      </w:tblGrid>
      <w:tr>
        <w:trPr>
          <w:cantSplit w:val="1"/>
          <w:jc w:val="center"/>
        </w:trPr>
        <w:tc>
          <w:tcPr>
            <w:tcW w:w="3402" w:type="dxa"/>
            <w:shd w:val="clear" w:color="auto" w:fill="D9D9D9"/>
            <w:vAlign w:val="center"/>
          </w:tcPr>
          <w:p w14:paraId="55CC853A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班次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21FEE1E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標準用膳時間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72E0BF3E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A更</w:t>
            </w:r>
          </w:p>
        </w:tc>
        <w:tc>
          <w:tcPr>
            <w:tcW w:w="3402" w:type="dxa"/>
            <w:vAlign w:val="center"/>
          </w:tcPr>
          <w:p w14:paraId="3315B06D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14:00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34CC09D9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B更</w:t>
            </w:r>
          </w:p>
        </w:tc>
        <w:tc>
          <w:tcPr>
            <w:tcW w:w="3402" w:type="dxa"/>
            <w:vAlign w:val="center"/>
          </w:tcPr>
          <w:p w14:paraId="12A2A16D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15:00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1770A234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C更</w:t>
            </w:r>
          </w:p>
        </w:tc>
        <w:tc>
          <w:tcPr>
            <w:tcW w:w="3402" w:type="dxa"/>
            <w:vAlign w:val="center"/>
          </w:tcPr>
          <w:p w14:paraId="570B67E0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16:00</w:t>
            </w:r>
          </w:p>
        </w:tc>
      </w:tr>
    </w:tbl>
    <w:p w14:paraId="52D543AE">
      <w:pPr>
        <w:pStyle w:val="000004"/>
        <w:spacing w:after="80"/>
        <w:rPr>
          <w:rFonts w:ascii="Arial" w:hAnsi="Arial" w:eastAsia="黑体"/>
          <w:lang w:eastAsia="zh-CN"/>
        </w:rPr>
      </w:pPr>
      <w:bookmarkStart w:id="4" w:name="_Toc240846173"/>
    </w:p>
    <w:p w14:paraId="37580342">
      <w:pPr>
        <w:rPr>
          <w:lang w:eastAsia="zh-CN"/>
        </w:rPr>
      </w:pPr>
    </w:p>
    <w:p w14:paraId="7D0BF40B">
      <w:pPr>
        <w:pStyle w:val="000004"/>
        <w:spacing w:after="80"/>
      </w:pPr>
      <w:r>
        <w:rPr>
          <w:rFonts w:hint="eastAsia" w:ascii="Arial" w:hAnsi="Arial" w:eastAsia="黑体"/>
        </w:rPr>
        <w:t>2.2 B1倉補貨要求</w:t>
      </w:r>
      <w:bookmarkEnd w:id="4"/>
    </w:p>
    <w:p w14:paraId="4E9E3F68">
      <w:pPr>
        <w:jc w:val="both"/>
      </w:pPr>
      <w:r>
        <w:rPr>
          <w:rFonts w:hint="eastAsia"/>
          <w:color w:val="262626"/>
        </w:rPr>
        <w:t>中更員工返崗後，必須於</w:t>
      </w:r>
      <w:r>
        <w:rPr>
          <w:rFonts w:hint="eastAsia"/>
          <w:color w:val="262626"/>
          <w:lang w:eastAsia="zh-CN"/>
        </w:rPr>
        <w:t>半</w:t>
      </w:r>
      <w:r>
        <w:rPr>
          <w:rFonts w:hint="eastAsia"/>
          <w:color w:val="262626"/>
        </w:rPr>
        <w:t>小時內完成B1倉補貨作業。</w:t>
      </w:r>
    </w:p>
    <w:p w14:paraId="27F36AE6">
      <w:pPr>
        <w:pBdr>
          <w:top w:val="single" w:color="D9D9D9" w:sz="4" w:space="4"/>
          <w:left w:val="single" w:color="E10600" w:sz="24" w:space="4"/>
          <w:bottom w:val="single" w:color="D9D9D9" w:sz="4" w:space="4"/>
          <w:right w:val="single" w:color="D9D9D9" w:sz="4" w:space="4"/>
        </w:pBdr>
        <w:shd w:val="clear" w:color="auto" w:fill="F2F2F2"/>
        <w:spacing w:before="120" w:after="120" w:line="336" w:lineRule="auto"/>
        <w:jc w:val="both"/>
      </w:pPr>
      <w:r>
        <w:rPr>
          <w:rFonts w:hint="eastAsia" w:eastAsia="黑体"/>
          <w:b w:val="1"/>
          <w:color w:val="1F3864"/>
        </w:rPr>
        <w:t>示例：</w:t>
      </w:r>
      <w:r>
        <w:rPr>
          <w:rFonts w:hint="eastAsia"/>
          <w:color w:val="262626"/>
        </w:rPr>
        <w:t>本月13號上班，須補齊B1倉內12號門店已售出的所有貨品，確保庫存充足。</w:t>
      </w:r>
    </w:p>
    <w:p w14:paraId="4058C588">
      <w:pPr>
        <w:pStyle w:val="000004"/>
        <w:spacing w:after="80"/>
      </w:pPr>
      <w:bookmarkStart w:id="5" w:name="_Toc240846174"/>
      <w:r>
        <w:rPr>
          <w:rFonts w:hint="eastAsia" w:ascii="Arial" w:hAnsi="Arial" w:eastAsia="黑体"/>
        </w:rPr>
        <w:t>2.3 水貨整理與任務提交</w:t>
      </w:r>
      <w:bookmarkEnd w:id="5"/>
    </w:p>
    <w:p w14:paraId="289ED34A">
      <w:pPr>
        <w:ind w:firstLine="480"/>
        <w:jc w:val="both"/>
      </w:pPr>
      <w:r>
        <w:rPr>
          <w:rFonts w:hint="eastAsia"/>
          <w:color w:val="262626"/>
        </w:rPr>
        <w:t>所有門店退貨、顧客換貨之水貨，必須即時整理、規範包裝後上架歸位；當日分配之所有工作任務完成後，拍攝作業完成成果照片，上傳至內部工作群備檔。</w:t>
      </w:r>
    </w:p>
    <w:p w14:paraId="701C9266">
      <w:pPr>
        <w:pStyle w:val="000004"/>
        <w:spacing w:after="80"/>
      </w:pPr>
      <w:bookmarkStart w:id="6" w:name="_Toc240846175"/>
      <w:r>
        <w:rPr>
          <w:rFonts w:hint="eastAsia" w:ascii="Arial" w:hAnsi="Arial" w:eastAsia="黑体"/>
        </w:rPr>
        <w:t>2.4 返貨作業崗位紀律</w:t>
      </w:r>
      <w:bookmarkEnd w:id="6"/>
    </w:p>
    <w:p w14:paraId="13294F10">
      <w:pPr>
        <w:ind w:firstLine="480"/>
        <w:jc w:val="both"/>
      </w:pPr>
      <w:r>
        <w:rPr>
          <w:rFonts w:hint="eastAsia"/>
          <w:color w:val="262626"/>
        </w:rPr>
        <w:t>進行返貨、點貨、整理貨品期間，嚴禁坐崗、把玩手機；如有特殊個人需求，必須提前向當日in-charge申請，獲批准後方可離崗。</w:t>
      </w:r>
    </w:p>
    <w:p w14:paraId="32CAE3F7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bookmarkStart w:id="7" w:name="_Toc240846176"/>
      <w:r>
        <w:rPr>
          <w:rFonts w:hint="eastAsia" w:ascii="Arial" w:hAnsi="Arial" w:eastAsia="黑体"/>
        </w:rPr>
        <w:t>3. 倉庫日常工作內容</w:t>
      </w:r>
      <w:bookmarkEnd w:id="7"/>
    </w:p>
    <w:p w14:paraId="2C985BB0">
      <w:pPr>
        <w:pStyle w:val="000004"/>
        <w:spacing w:after="80"/>
      </w:pPr>
      <w:bookmarkStart w:id="8" w:name="_Toc240846177"/>
      <w:r>
        <w:rPr>
          <w:rFonts w:hint="eastAsia" w:ascii="Arial" w:hAnsi="Arial" w:eastAsia="黑体"/>
        </w:rPr>
        <w:t>3.1 收貨</w:t>
      </w:r>
      <w:bookmarkEnd w:id="8"/>
      <w:r>
        <w:rPr>
          <w:rFonts w:hint="eastAsia" w:ascii="Arial" w:hAnsi="Arial" w:eastAsia="黑体"/>
        </w:rPr>
        <w:t>驗收</w:t>
      </w:r>
    </w:p>
    <w:p w14:paraId="6C024A6C">
      <w:pPr>
        <w:ind w:firstLine="480"/>
        <w:jc w:val="both"/>
      </w:pPr>
      <w:r>
        <w:rPr>
          <w:rFonts w:hint="eastAsia"/>
          <w:color w:val="262626"/>
        </w:rPr>
        <w:t>執行到貨驗收工作，同步檢查門店貨場缺貨情況，將貨場缺失貨品單獨抽出，張貼SHOW標示分類存放。</w:t>
      </w:r>
    </w:p>
    <w:p w14:paraId="2EEE091F">
      <w:pPr>
        <w:pStyle w:val="000004"/>
        <w:spacing w:after="80"/>
      </w:pPr>
      <w:bookmarkStart w:id="9" w:name="_Toc240846178"/>
      <w:r>
        <w:rPr>
          <w:rFonts w:hint="eastAsia" w:ascii="Arial" w:hAnsi="Arial" w:eastAsia="黑体"/>
        </w:rPr>
        <w:t>3.2 走貨出貨</w:t>
      </w:r>
      <w:bookmarkEnd w:id="9"/>
    </w:p>
    <w:p w14:paraId="7CE0B5B6">
      <w:pPr>
        <w:ind w:firstLine="480"/>
        <w:jc w:val="both"/>
      </w:pPr>
      <w:r>
        <w:rPr>
          <w:rFonts w:hint="eastAsia"/>
          <w:color w:val="262626"/>
        </w:rPr>
        <w:t>依照出貨清單揀貨、走貨，逐項核對貨品款號、尺碼、數量，杜絕漏發、錯發；發現單貨不符、異常問題，即時諮詢當值主管。</w:t>
      </w:r>
    </w:p>
    <w:p w14:paraId="53A803F2">
      <w:pPr>
        <w:pStyle w:val="000004"/>
        <w:spacing w:after="80"/>
      </w:pPr>
      <w:bookmarkStart w:id="10" w:name="_Toc240846179"/>
      <w:r>
        <w:rPr>
          <w:rFonts w:hint="eastAsia" w:ascii="Arial" w:hAnsi="Arial" w:eastAsia="黑体"/>
        </w:rPr>
        <w:t>3.3 水貨整理上架</w:t>
      </w:r>
      <w:bookmarkEnd w:id="10"/>
    </w:p>
    <w:p w14:paraId="6FAC4C6E">
      <w:pPr>
        <w:ind w:firstLine="480"/>
        <w:jc w:val="both"/>
      </w:pPr>
      <w:r>
        <w:rPr>
          <w:rFonts w:hint="eastAsia"/>
          <w:color w:val="262626"/>
        </w:rPr>
        <w:t>顧客退換之服裝貨品，須平整折疊、對應尺碼袋規範包裝，再按照男裝/女裝、貨品編號、季度、顏色、尺碼分類上架。</w:t>
      </w:r>
    </w:p>
    <w:p w14:paraId="3FFCF8EB">
      <w:pPr>
        <w:pStyle w:val="000004"/>
        <w:spacing w:after="80"/>
      </w:pPr>
      <w:bookmarkStart w:id="11" w:name="_Toc240846180"/>
      <w:r>
        <w:rPr>
          <w:rFonts w:hint="eastAsia" w:ascii="Arial" w:hAnsi="Arial" w:eastAsia="黑体"/>
        </w:rPr>
        <w:t>3.4 B1倉補貨</w:t>
      </w:r>
      <w:bookmarkEnd w:id="11"/>
    </w:p>
    <w:p w14:paraId="66E62B02">
      <w:pPr>
        <w:ind w:firstLine="480"/>
        <w:jc w:val="both"/>
      </w:pPr>
      <w:r>
        <w:rPr>
          <w:rFonts w:hint="eastAsia"/>
          <w:color w:val="262626"/>
        </w:rPr>
        <w:t>依據門店每日銷售數據，及時補充B1倉已售缺貨品，保障門店補貨需求。</w:t>
      </w:r>
    </w:p>
    <w:p w14:paraId="270CCB30">
      <w:pPr>
        <w:pStyle w:val="000004"/>
        <w:spacing w:after="80"/>
      </w:pPr>
      <w:bookmarkStart w:id="12" w:name="_Toc240846181"/>
      <w:r>
        <w:rPr>
          <w:rFonts w:hint="eastAsia" w:ascii="Arial" w:hAnsi="Arial" w:eastAsia="黑体"/>
        </w:rPr>
        <w:t>3.5 貨品盤點</w:t>
      </w:r>
      <w:bookmarkEnd w:id="12"/>
    </w:p>
    <w:p w14:paraId="30DBB3A6">
      <w:pPr>
        <w:ind w:firstLine="480"/>
        <w:jc w:val="both"/>
      </w:pPr>
      <w:r>
        <w:rPr>
          <w:rFonts w:hint="eastAsia"/>
          <w:color w:val="262626"/>
        </w:rPr>
        <w:t>按照公司規定時段，準時、準確完成倉庫全品項/抽樣盤點工作，確保帳實相符。</w:t>
      </w:r>
    </w:p>
    <w:p w14:paraId="7787BE85">
      <w:pPr>
        <w:pStyle w:val="000004"/>
        <w:spacing w:after="80"/>
      </w:pPr>
      <w:bookmarkStart w:id="13" w:name="_Toc240846182"/>
      <w:r>
        <w:rPr>
          <w:rFonts w:hint="eastAsia" w:ascii="Arial" w:hAnsi="Arial" w:eastAsia="黑体"/>
        </w:rPr>
        <w:t>3.6 環境維護</w:t>
      </w:r>
      <w:bookmarkEnd w:id="13"/>
    </w:p>
    <w:p w14:paraId="2DA4DEA4">
      <w:pPr>
        <w:ind w:firstLine="480"/>
        <w:jc w:val="both"/>
      </w:pPr>
      <w:r>
        <w:rPr>
          <w:rFonts w:hint="eastAsia"/>
          <w:color w:val="262626"/>
        </w:rPr>
        <w:t>每日整理負責區域，保持倉庫整潔乾淨、貨品擺放整齊、通道暢通無阻。</w:t>
      </w:r>
    </w:p>
    <w:p w14:paraId="28FE09D4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bookmarkStart w:id="14" w:name="_Toc240846183"/>
      <w:r>
        <w:rPr>
          <w:rFonts w:hint="eastAsia" w:ascii="Arial" w:hAnsi="Arial" w:eastAsia="黑体"/>
        </w:rPr>
        <w:t>4. 貨品分類、編碼與倉儲擺放標準</w:t>
      </w:r>
      <w:bookmarkEnd w:id="14"/>
    </w:p>
    <w:p w14:paraId="34CBD219">
      <w:pPr>
        <w:pStyle w:val="000004"/>
        <w:spacing w:after="80"/>
      </w:pPr>
      <w:bookmarkStart w:id="15" w:name="_Toc240846184"/>
      <w:r>
        <w:rPr>
          <w:rFonts w:hint="eastAsia" w:ascii="Arial" w:hAnsi="Arial" w:eastAsia="黑体"/>
        </w:rPr>
        <w:t>4.1 貨品大分類代碼</w:t>
      </w:r>
      <w:bookmarkEnd w:id="15"/>
    </w:p>
    <w:p w14:paraId="0A47D8E2">
      <w:pPr>
        <w:keepNext w:val="1"/>
        <w:spacing w:before="120" w:after="80" w:line="240" w:lineRule="auto"/>
        <w:jc w:val="center"/>
      </w:pPr>
      <w:r>
        <w:rPr>
          <w:rFonts w:hint="eastAsia" w:eastAsia="黑体"/>
          <w:b w:val="1"/>
          <w:color w:val="1F3864"/>
          <w:sz w:val="21"/>
        </w:rPr>
        <w:t>表2 貨品大分類代碼</w:t>
      </w:r>
    </w:p>
    <w:tbl>
      <w:tblPr>
        <w:tblStyle w:val="000048"/>
        <w:tblW w:w="0" w:type="auto"/>
        <w:jc w:val="center"/>
        <w:tblLayout w:type="fixed"/>
        <w:tblLook w:firstRow="1" w:lastRow="0" w:firstColumn="1" w:lastColumn="0" w:noHBand="0" w:noVBand="1" w:val="04A0"/>
      </w:tblPr>
      <w:tblGrid>
        <w:gridCol w:w="1701"/>
        <w:gridCol w:w="2268"/>
        <w:gridCol w:w="1701"/>
        <w:gridCol w:w="2835"/>
      </w:tblGrid>
      <w:tr>
        <w:trPr>
          <w:cantSplit w:val="1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01581ABD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簡稱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C0686D3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英文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16F0F0B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代碼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6CA0D56C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貨品類別</w:t>
            </w:r>
          </w:p>
        </w:tc>
      </w:tr>
      <w:tr>
        <w:trPr>
          <w:cantSplit w:val="1"/>
          <w:jc w:val="center"/>
        </w:trPr>
        <w:tc>
          <w:tcPr>
            <w:tcW w:w="1701" w:type="dxa"/>
            <w:vAlign w:val="center"/>
          </w:tcPr>
          <w:p w14:paraId="3C2FDADA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App</w:t>
            </w:r>
          </w:p>
        </w:tc>
        <w:tc>
          <w:tcPr>
            <w:tcW w:w="2268" w:type="dxa"/>
            <w:vAlign w:val="center"/>
          </w:tcPr>
          <w:p w14:paraId="12EBA235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Apparel</w:t>
            </w:r>
          </w:p>
        </w:tc>
        <w:tc>
          <w:tcPr>
            <w:tcW w:w="1701" w:type="dxa"/>
            <w:vAlign w:val="center"/>
          </w:tcPr>
          <w:p w14:paraId="74BA89E4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11</w:t>
            </w:r>
          </w:p>
        </w:tc>
        <w:tc>
          <w:tcPr>
            <w:tcW w:w="2835" w:type="dxa"/>
            <w:vAlign w:val="center"/>
          </w:tcPr>
          <w:p w14:paraId="3348EA56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服裝</w:t>
            </w:r>
          </w:p>
        </w:tc>
      </w:tr>
      <w:tr>
        <w:trPr>
          <w:cantSplit w:val="1"/>
          <w:jc w:val="center"/>
        </w:trPr>
        <w:tc>
          <w:tcPr>
            <w:tcW w:w="1701" w:type="dxa"/>
            <w:vAlign w:val="center"/>
          </w:tcPr>
          <w:p w14:paraId="74625B55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Fot</w:t>
            </w:r>
          </w:p>
        </w:tc>
        <w:tc>
          <w:tcPr>
            <w:tcW w:w="2268" w:type="dxa"/>
            <w:vAlign w:val="center"/>
          </w:tcPr>
          <w:p w14:paraId="7C56C63C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Footwear</w:t>
            </w:r>
          </w:p>
        </w:tc>
        <w:tc>
          <w:tcPr>
            <w:tcW w:w="1701" w:type="dxa"/>
            <w:vAlign w:val="center"/>
          </w:tcPr>
          <w:p w14:paraId="27FFDD77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12</w:t>
            </w:r>
          </w:p>
        </w:tc>
        <w:tc>
          <w:tcPr>
            <w:tcW w:w="2835" w:type="dxa"/>
            <w:vAlign w:val="center"/>
          </w:tcPr>
          <w:p w14:paraId="1DDFE6D7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鞋類</w:t>
            </w:r>
          </w:p>
        </w:tc>
      </w:tr>
      <w:tr>
        <w:trPr>
          <w:cantSplit w:val="1"/>
          <w:jc w:val="center"/>
        </w:trPr>
        <w:tc>
          <w:tcPr>
            <w:tcW w:w="1701" w:type="dxa"/>
            <w:vAlign w:val="center"/>
          </w:tcPr>
          <w:p w14:paraId="00FE7A29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Acc</w:t>
            </w:r>
          </w:p>
        </w:tc>
        <w:tc>
          <w:tcPr>
            <w:tcW w:w="2268" w:type="dxa"/>
            <w:vAlign w:val="center"/>
          </w:tcPr>
          <w:p w14:paraId="3DA11551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Accessary</w:t>
            </w:r>
          </w:p>
        </w:tc>
        <w:tc>
          <w:tcPr>
            <w:tcW w:w="1701" w:type="dxa"/>
            <w:vAlign w:val="center"/>
          </w:tcPr>
          <w:p w14:paraId="67BB9486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13</w:t>
            </w:r>
          </w:p>
        </w:tc>
        <w:tc>
          <w:tcPr>
            <w:tcW w:w="2835" w:type="dxa"/>
            <w:vAlign w:val="center"/>
          </w:tcPr>
          <w:p w14:paraId="223DC4A7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配件</w:t>
            </w:r>
          </w:p>
        </w:tc>
      </w:tr>
    </w:tbl>
    <w:p w14:paraId="4DDD01D7">
      <w:pPr>
        <w:ind w:firstLine="480"/>
        <w:jc w:val="both"/>
      </w:pPr>
      <w:r>
        <w:rPr>
          <w:rFonts w:hint="eastAsia"/>
          <w:color w:val="262626"/>
        </w:rPr>
        <w:t>系列屬性規則：</w:t>
      </w:r>
    </w:p>
    <w:p w14:paraId="329C7145">
      <w:pPr>
        <w:pStyle w:val="00002b"/>
        <w:jc w:val="both"/>
      </w:pPr>
      <w:r>
        <w:rPr>
          <w:rFonts w:hint="eastAsia"/>
          <w:color w:val="262626"/>
        </w:rPr>
        <w:t>A字開頭：運動系列貨品</w:t>
      </w:r>
    </w:p>
    <w:p w14:paraId="36B22794">
      <w:pPr>
        <w:pStyle w:val="00002b"/>
        <w:jc w:val="both"/>
      </w:pPr>
      <w:r>
        <w:rPr>
          <w:rFonts w:hint="eastAsia"/>
          <w:color w:val="262626"/>
        </w:rPr>
        <w:t>F字開頭：休閒系列貨品</w:t>
      </w:r>
    </w:p>
    <w:p w14:paraId="6BA5257D">
      <w:pPr>
        <w:pStyle w:val="000004"/>
        <w:spacing w:after="80"/>
      </w:pPr>
      <w:bookmarkStart w:id="16" w:name="_Toc240846185"/>
      <w:r>
        <w:rPr>
          <w:rFonts w:hint="eastAsia" w:ascii="Arial" w:hAnsi="Arial" w:eastAsia="黑体"/>
        </w:rPr>
        <w:t>4.2 子系列對照表</w:t>
      </w:r>
      <w:bookmarkEnd w:id="16"/>
    </w:p>
    <w:p w14:paraId="399C2C9D">
      <w:pPr>
        <w:keepNext w:val="1"/>
        <w:spacing w:before="120" w:after="80" w:line="240" w:lineRule="auto"/>
        <w:jc w:val="center"/>
      </w:pPr>
      <w:r>
        <w:rPr>
          <w:rFonts w:hint="eastAsia" w:eastAsia="黑体"/>
          <w:b w:val="1"/>
          <w:color w:val="1F3864"/>
          <w:sz w:val="21"/>
        </w:rPr>
        <w:t>表3 子系列對照表</w:t>
      </w:r>
    </w:p>
    <w:tbl>
      <w:tblPr>
        <w:tblStyle w:val="000048"/>
        <w:tblW w:w="0" w:type="auto"/>
        <w:jc w:val="center"/>
        <w:tblLayout w:type="fixed"/>
        <w:tblLook w:firstRow="1" w:lastRow="0" w:firstColumn="1" w:lastColumn="0" w:noHBand="0" w:noVBand="1" w:val="04A0"/>
      </w:tblPr>
      <w:tblGrid>
        <w:gridCol w:w="2000"/>
        <w:gridCol w:w="1701"/>
        <w:gridCol w:w="1701"/>
        <w:gridCol w:w="2268"/>
      </w:tblGrid>
      <w:tr>
        <w:trPr>
          <w:cantSplit w:val="1"/>
          <w:jc w:val="center"/>
        </w:trPr>
        <w:tc>
          <w:tcPr>
            <w:tcW w:w="2000" w:type="dxa"/>
            <w:shd w:val="clear" w:color="auto" w:fill="D9D9D9"/>
            <w:vAlign w:val="center"/>
          </w:tcPr>
          <w:p w14:paraId="376854C8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系列名稱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8895D04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簡寫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8C22C90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字頭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C343614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數字字頭</w:t>
            </w:r>
          </w:p>
        </w:tc>
      </w:tr>
      <w:tr>
        <w:trPr>
          <w:cantSplit w:val="1"/>
          <w:jc w:val="center"/>
        </w:trPr>
        <w:tc>
          <w:tcPr>
            <w:tcW w:w="2000" w:type="dxa"/>
            <w:vAlign w:val="center"/>
          </w:tcPr>
          <w:p w14:paraId="424A367C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</w:rPr>
              <w:t>Fitness（運動）</w:t>
            </w:r>
          </w:p>
        </w:tc>
        <w:tc>
          <w:tcPr>
            <w:tcW w:w="1701" w:type="dxa"/>
            <w:vAlign w:val="center"/>
          </w:tcPr>
          <w:p w14:paraId="34190971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Fit</w:t>
            </w:r>
          </w:p>
        </w:tc>
        <w:tc>
          <w:tcPr>
            <w:tcW w:w="1701" w:type="dxa"/>
            <w:vAlign w:val="center"/>
          </w:tcPr>
          <w:p w14:paraId="3F8BF816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A</w:t>
            </w:r>
          </w:p>
        </w:tc>
        <w:tc>
          <w:tcPr>
            <w:tcW w:w="2268" w:type="dxa"/>
            <w:vAlign w:val="center"/>
          </w:tcPr>
          <w:p w14:paraId="77B93B21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1</w:t>
            </w:r>
          </w:p>
        </w:tc>
      </w:tr>
      <w:tr>
        <w:trPr>
          <w:cantSplit w:val="1"/>
          <w:jc w:val="center"/>
        </w:trPr>
        <w:tc>
          <w:tcPr>
            <w:tcW w:w="2000" w:type="dxa"/>
            <w:vAlign w:val="center"/>
          </w:tcPr>
          <w:p w14:paraId="61F07632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</w:rPr>
              <w:t>Golf（高爾夫）</w:t>
            </w:r>
          </w:p>
        </w:tc>
        <w:tc>
          <w:tcPr>
            <w:tcW w:w="1701" w:type="dxa"/>
            <w:vAlign w:val="center"/>
          </w:tcPr>
          <w:p w14:paraId="60F35133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Gofo</w:t>
            </w:r>
          </w:p>
        </w:tc>
        <w:tc>
          <w:tcPr>
            <w:tcW w:w="1701" w:type="dxa"/>
            <w:vAlign w:val="center"/>
          </w:tcPr>
          <w:p w14:paraId="717F0716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A</w:t>
            </w:r>
          </w:p>
        </w:tc>
        <w:tc>
          <w:tcPr>
            <w:tcW w:w="2268" w:type="dxa"/>
            <w:vAlign w:val="center"/>
          </w:tcPr>
          <w:p w14:paraId="313FD6F9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5</w:t>
            </w:r>
          </w:p>
        </w:tc>
      </w:tr>
      <w:tr>
        <w:trPr>
          <w:cantSplit w:val="1"/>
          <w:jc w:val="center"/>
        </w:trPr>
        <w:tc>
          <w:tcPr>
            <w:tcW w:w="2000" w:type="dxa"/>
            <w:vAlign w:val="center"/>
          </w:tcPr>
          <w:p w14:paraId="604F2F75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</w:rPr>
              <w:t>EXPLORE（探索）</w:t>
            </w:r>
          </w:p>
        </w:tc>
        <w:tc>
          <w:tcPr>
            <w:tcW w:w="1701" w:type="dxa"/>
            <w:vAlign w:val="center"/>
          </w:tcPr>
          <w:p w14:paraId="58DC8F1E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Exp</w:t>
            </w:r>
          </w:p>
        </w:tc>
        <w:tc>
          <w:tcPr>
            <w:tcW w:w="1701" w:type="dxa"/>
            <w:vAlign w:val="center"/>
          </w:tcPr>
          <w:p w14:paraId="206B5628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A</w:t>
            </w:r>
          </w:p>
        </w:tc>
        <w:tc>
          <w:tcPr>
            <w:tcW w:w="2268" w:type="dxa"/>
            <w:vAlign w:val="center"/>
          </w:tcPr>
          <w:p w14:paraId="50D4F15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7</w:t>
            </w:r>
          </w:p>
        </w:tc>
      </w:tr>
      <w:tr>
        <w:trPr>
          <w:cantSplit w:val="1"/>
          <w:jc w:val="center"/>
        </w:trPr>
        <w:tc>
          <w:tcPr>
            <w:tcW w:w="2000" w:type="dxa"/>
            <w:vAlign w:val="center"/>
          </w:tcPr>
          <w:p w14:paraId="39DBEDF3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</w:rPr>
              <w:t>Heritage經典</w:t>
            </w:r>
          </w:p>
        </w:tc>
        <w:tc>
          <w:tcPr>
            <w:tcW w:w="1701" w:type="dxa"/>
            <w:vAlign w:val="center"/>
          </w:tcPr>
          <w:p w14:paraId="45444823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Her</w:t>
            </w:r>
          </w:p>
        </w:tc>
        <w:tc>
          <w:tcPr>
            <w:tcW w:w="1701" w:type="dxa"/>
            <w:vAlign w:val="center"/>
          </w:tcPr>
          <w:p w14:paraId="67903DC8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F</w:t>
            </w:r>
          </w:p>
        </w:tc>
        <w:tc>
          <w:tcPr>
            <w:tcW w:w="2268" w:type="dxa"/>
            <w:vAlign w:val="center"/>
          </w:tcPr>
          <w:p w14:paraId="239EFE0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8</w:t>
            </w:r>
          </w:p>
        </w:tc>
      </w:tr>
      <w:tr>
        <w:trPr>
          <w:cantSplit w:val="1"/>
          <w:jc w:val="center"/>
        </w:trPr>
        <w:tc>
          <w:tcPr>
            <w:tcW w:w="2000" w:type="dxa"/>
            <w:vAlign w:val="center"/>
          </w:tcPr>
          <w:p w14:paraId="716FD6DE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</w:rPr>
              <w:t>Orginale復古</w:t>
            </w:r>
          </w:p>
        </w:tc>
        <w:tc>
          <w:tcPr>
            <w:tcW w:w="1701" w:type="dxa"/>
            <w:vAlign w:val="center"/>
          </w:tcPr>
          <w:p w14:paraId="6A9303F9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Org</w:t>
            </w:r>
          </w:p>
        </w:tc>
        <w:tc>
          <w:tcPr>
            <w:tcW w:w="1701" w:type="dxa"/>
            <w:vAlign w:val="center"/>
          </w:tcPr>
          <w:p w14:paraId="250C5514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F</w:t>
            </w:r>
          </w:p>
        </w:tc>
        <w:tc>
          <w:tcPr>
            <w:tcW w:w="2268" w:type="dxa"/>
            <w:vAlign w:val="center"/>
          </w:tcPr>
          <w:p w14:paraId="6528B023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262626"/>
                <w:sz w:val="21"/>
              </w:rPr>
              <w:t>9</w:t>
            </w:r>
          </w:p>
        </w:tc>
      </w:tr>
      <w:tr>
        <w:trPr>
          <w:cantSplit w:val="1"/>
          <w:jc w:val="center"/>
        </w:trPr>
        <w:tc>
          <w:tcPr>
            <w:tcW w:w="2000" w:type="dxa"/>
            <w:vAlign w:val="center"/>
          </w:tcPr>
          <w:p w14:paraId="684512FB">
            <w:pPr>
              <w:spacing w:line="240" w:lineRule="auto"/>
              <w:jc w:val="center"/>
              <w:rPr>
                <w:rFonts w:eastAsia="等线" w:asciiTheme="majorHAnsi" w:hAnsiTheme="majorHAnsi" w:cstheme="majorHAnsi"/>
                <w:color w:val="000000"/>
                <w:sz w:val="22"/>
                <w:lang w:eastAsia="zh-CN"/>
              </w:rPr>
            </w:pPr>
            <w:r>
              <w:rPr>
                <w:rFonts w:eastAsia="等线" w:asciiTheme="majorHAnsi" w:hAnsiTheme="majorHAnsi" w:cstheme="majorHAnsi"/>
                <w:color w:val="000000"/>
                <w:sz w:val="22"/>
              </w:rPr>
              <w:t>A.P.</w:t>
            </w:r>
            <w:r>
              <w:rPr>
                <w:rFonts w:hint="eastAsia" w:asciiTheme="majorHAnsi" w:hAnsiTheme="majorHAnsi" w:cstheme="majorHAnsi"/>
                <w:color w:val="262626"/>
                <w:sz w:val="21"/>
              </w:rPr>
              <w:t xml:space="preserve"> （運動）</w:t>
            </w:r>
          </w:p>
        </w:tc>
        <w:tc>
          <w:tcPr>
            <w:tcW w:w="1701" w:type="dxa"/>
            <w:vAlign w:val="center"/>
          </w:tcPr>
          <w:p w14:paraId="3CF61721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AP</w:t>
            </w:r>
          </w:p>
        </w:tc>
        <w:tc>
          <w:tcPr>
            <w:tcW w:w="1701" w:type="dxa"/>
            <w:vAlign w:val="center"/>
          </w:tcPr>
          <w:p w14:paraId="47E20EB3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F</w:t>
            </w:r>
          </w:p>
        </w:tc>
        <w:tc>
          <w:tcPr>
            <w:tcW w:w="2268" w:type="dxa"/>
            <w:vAlign w:val="center"/>
          </w:tcPr>
          <w:p w14:paraId="465ACE55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1</w:t>
            </w:r>
          </w:p>
        </w:tc>
      </w:tr>
      <w:tr>
        <w:trPr>
          <w:cantSplit w:val="1"/>
          <w:jc w:val="center"/>
        </w:trPr>
        <w:tc>
          <w:tcPr>
            <w:tcW w:w="2000" w:type="dxa"/>
            <w:vAlign w:val="center"/>
          </w:tcPr>
          <w:p w14:paraId="4FBABA2C">
            <w:pPr>
              <w:spacing w:line="240" w:lineRule="auto"/>
              <w:jc w:val="center"/>
              <w:rPr>
                <w:rFonts w:eastAsia="等线" w:asciiTheme="majorHAnsi" w:hAnsiTheme="majorHAnsi" w:cstheme="majorHAnsi"/>
                <w:color w:val="000000"/>
                <w:sz w:val="22"/>
                <w:lang w:eastAsia="zh-CN"/>
              </w:rPr>
            </w:pPr>
            <w:r>
              <w:rPr>
                <w:rFonts w:eastAsia="等线" w:asciiTheme="majorHAnsi" w:hAnsiTheme="majorHAnsi" w:cstheme="majorHAnsi"/>
                <w:color w:val="000000"/>
                <w:sz w:val="22"/>
              </w:rPr>
              <w:t>TENNIS</w:t>
            </w:r>
            <w:r>
              <w:rPr>
                <w:rFonts w:hint="eastAsia" w:asciiTheme="majorHAnsi" w:hAnsiTheme="majorHAnsi" w:cstheme="majorHAnsi"/>
                <w:color w:val="262626"/>
                <w:sz w:val="21"/>
              </w:rPr>
              <w:t>（</w:t>
            </w: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網球</w:t>
            </w:r>
            <w:r>
              <w:rPr>
                <w:rFonts w:hint="eastAsia" w:asciiTheme="majorHAnsi" w:hAnsiTheme="majorHAnsi" w:cstheme="majorHAnsi"/>
                <w:color w:val="262626"/>
                <w:sz w:val="21"/>
              </w:rPr>
              <w:t>）</w:t>
            </w:r>
          </w:p>
        </w:tc>
        <w:tc>
          <w:tcPr>
            <w:tcW w:w="1701" w:type="dxa"/>
            <w:vAlign w:val="center"/>
          </w:tcPr>
          <w:p w14:paraId="4984FA3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Tennis</w:t>
            </w:r>
          </w:p>
        </w:tc>
        <w:tc>
          <w:tcPr>
            <w:tcW w:w="1701" w:type="dxa"/>
            <w:vAlign w:val="center"/>
          </w:tcPr>
          <w:p w14:paraId="0D8097E2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A</w:t>
            </w:r>
          </w:p>
        </w:tc>
        <w:tc>
          <w:tcPr>
            <w:tcW w:w="2268" w:type="dxa"/>
            <w:vAlign w:val="center"/>
          </w:tcPr>
          <w:p w14:paraId="194F628A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3</w:t>
            </w:r>
          </w:p>
        </w:tc>
      </w:tr>
      <w:tr>
        <w:trPr>
          <w:cantSplit w:val="1"/>
          <w:jc w:val="center"/>
        </w:trPr>
        <w:tc>
          <w:tcPr>
            <w:tcW w:w="2000" w:type="dxa"/>
            <w:vAlign w:val="center"/>
          </w:tcPr>
          <w:p w14:paraId="18D44E02">
            <w:pPr>
              <w:spacing w:line="240" w:lineRule="auto"/>
              <w:jc w:val="center"/>
              <w:rPr>
                <w:rFonts w:eastAsia="等线" w:asciiTheme="majorHAnsi" w:hAnsiTheme="majorHAnsi" w:cstheme="majorHAnsi"/>
                <w:color w:val="000000"/>
                <w:sz w:val="22"/>
              </w:rPr>
            </w:pPr>
            <w:r>
              <w:rPr>
                <w:rFonts w:eastAsia="等线" w:asciiTheme="majorHAnsi" w:hAnsiTheme="majorHAnsi" w:cstheme="majorHAnsi"/>
                <w:color w:val="000000"/>
                <w:sz w:val="22"/>
              </w:rPr>
              <w:t>WHITE</w:t>
            </w:r>
            <w:r>
              <w:rPr>
                <w:rFonts w:hint="eastAsia" w:eastAsia="等线" w:asciiTheme="majorHAnsi" w:hAnsiTheme="majorHAnsi" w:cstheme="majorHAnsi"/>
                <w:color w:val="000000"/>
                <w:sz w:val="22"/>
                <w:lang w:eastAsia="zh-CN"/>
              </w:rPr>
              <w:t>（商務）</w:t>
            </w:r>
          </w:p>
        </w:tc>
        <w:tc>
          <w:tcPr>
            <w:tcW w:w="1701" w:type="dxa"/>
            <w:vAlign w:val="center"/>
          </w:tcPr>
          <w:p w14:paraId="23C154D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White</w:t>
            </w:r>
          </w:p>
        </w:tc>
        <w:tc>
          <w:tcPr>
            <w:tcW w:w="1701" w:type="dxa"/>
            <w:vAlign w:val="center"/>
          </w:tcPr>
          <w:p w14:paraId="4AE11CE4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F</w:t>
            </w:r>
          </w:p>
        </w:tc>
        <w:tc>
          <w:tcPr>
            <w:tcW w:w="2268" w:type="dxa"/>
            <w:vAlign w:val="center"/>
          </w:tcPr>
          <w:p w14:paraId="391E2DAC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262626"/>
                <w:sz w:val="21"/>
                <w:lang w:eastAsia="zh-CN"/>
              </w:rPr>
            </w:pPr>
            <w:r>
              <w:rPr>
                <w:rFonts w:hint="eastAsia" w:asciiTheme="majorHAnsi" w:hAnsiTheme="majorHAnsi" w:cstheme="majorHAnsi"/>
                <w:color w:val="262626"/>
                <w:sz w:val="21"/>
                <w:lang w:eastAsia="zh-CN"/>
              </w:rPr>
              <w:t>3</w:t>
            </w:r>
          </w:p>
        </w:tc>
      </w:tr>
    </w:tbl>
    <w:p w14:paraId="34EFDAD7">
      <w:pPr>
        <w:pStyle w:val="000004"/>
        <w:spacing w:after="80"/>
        <w:rPr>
          <w:rFonts w:ascii="Arial" w:hAnsi="Arial" w:eastAsia="黑体"/>
        </w:rPr>
      </w:pPr>
    </w:p>
    <w:p w14:paraId="73608358">
      <w:pPr>
        <w:pStyle w:val="000004"/>
        <w:spacing w:after="80"/>
        <w:rPr>
          <w:rFonts w:ascii="Arial" w:hAnsi="Arial" w:eastAsia="黑体"/>
        </w:rPr>
      </w:pPr>
    </w:p>
    <w:p w14:paraId="6AC4979D">
      <w:pPr>
        <w:pStyle w:val="000004"/>
        <w:spacing w:after="80"/>
      </w:pPr>
      <w:r>
        <w:rPr>
          <w:rFonts w:hint="eastAsia" w:ascii="Arial" w:hAnsi="Arial" w:eastAsia="黑体"/>
        </w:rPr>
        <w:t>4.3 服裝款式代碼</w:t>
      </w:r>
    </w:p>
    <w:p w14:paraId="12F94B2A">
      <w:pPr>
        <w:keepNext w:val="1"/>
        <w:spacing w:before="120" w:after="80" w:line="240" w:lineRule="auto"/>
        <w:jc w:val="center"/>
      </w:pPr>
      <w:r>
        <w:rPr>
          <w:rFonts w:hint="eastAsia" w:eastAsia="黑体"/>
          <w:b w:val="1"/>
          <w:color w:val="1F3864"/>
          <w:sz w:val="21"/>
        </w:rPr>
        <w:t>表4 服裝款式代碼</w:t>
      </w:r>
    </w:p>
    <w:tbl>
      <w:tblPr>
        <w:tblStyle w:val="000048"/>
        <w:tblW w:w="0" w:type="auto"/>
        <w:jc w:val="center"/>
        <w:tblLayout w:type="fixed"/>
        <w:tblLook w:firstRow="1" w:lastRow="0" w:firstColumn="1" w:lastColumn="0" w:noHBand="0" w:noVBand="1" w:val="04A0"/>
      </w:tblPr>
      <w:tblGrid>
        <w:gridCol w:w="3402"/>
        <w:gridCol w:w="3402"/>
      </w:tblGrid>
      <w:tr>
        <w:trPr>
          <w:cantSplit w:val="1"/>
          <w:jc w:val="center"/>
        </w:trPr>
        <w:tc>
          <w:tcPr>
            <w:tcW w:w="3402" w:type="dxa"/>
            <w:shd w:val="clear" w:color="auto" w:fill="D9D9D9"/>
            <w:vAlign w:val="center"/>
          </w:tcPr>
          <w:p w14:paraId="00C537BE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款式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8F83151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代號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1C5D4B8E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短袖T</w:t>
            </w:r>
          </w:p>
        </w:tc>
        <w:tc>
          <w:tcPr>
            <w:tcW w:w="3402" w:type="dxa"/>
            <w:vAlign w:val="center"/>
          </w:tcPr>
          <w:p w14:paraId="422847C6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1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708DA56D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衛衣</w:t>
            </w:r>
          </w:p>
        </w:tc>
        <w:tc>
          <w:tcPr>
            <w:tcW w:w="3402" w:type="dxa"/>
            <w:vAlign w:val="center"/>
          </w:tcPr>
          <w:p w14:paraId="05103306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2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6F3A2990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裙子</w:t>
            </w:r>
          </w:p>
        </w:tc>
        <w:tc>
          <w:tcPr>
            <w:tcW w:w="3402" w:type="dxa"/>
            <w:vAlign w:val="center"/>
          </w:tcPr>
          <w:p w14:paraId="255979F7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3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0AF0C4BC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針織衫</w:t>
            </w:r>
          </w:p>
        </w:tc>
        <w:tc>
          <w:tcPr>
            <w:tcW w:w="3402" w:type="dxa"/>
            <w:vAlign w:val="center"/>
          </w:tcPr>
          <w:p w14:paraId="51B80649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4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7B2CCD03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外套</w:t>
            </w:r>
          </w:p>
        </w:tc>
        <w:tc>
          <w:tcPr>
            <w:tcW w:w="3402" w:type="dxa"/>
            <w:vAlign w:val="center"/>
          </w:tcPr>
          <w:p w14:paraId="00C1E9F9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5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01F8A028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褲子</w:t>
            </w:r>
          </w:p>
        </w:tc>
        <w:tc>
          <w:tcPr>
            <w:tcW w:w="3402" w:type="dxa"/>
            <w:vAlign w:val="center"/>
          </w:tcPr>
          <w:p w14:paraId="3A24C648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6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7B3B4585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衝鋒衣</w:t>
            </w:r>
          </w:p>
        </w:tc>
        <w:tc>
          <w:tcPr>
            <w:tcW w:w="3402" w:type="dxa"/>
            <w:vAlign w:val="center"/>
          </w:tcPr>
          <w:p w14:paraId="2BE6E645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7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6B67B7E3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工裝褲</w:t>
            </w:r>
          </w:p>
        </w:tc>
        <w:tc>
          <w:tcPr>
            <w:tcW w:w="3402" w:type="dxa"/>
            <w:vAlign w:val="center"/>
          </w:tcPr>
          <w:p w14:paraId="050660A7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8</w:t>
            </w:r>
          </w:p>
        </w:tc>
      </w:tr>
      <w:tr>
        <w:trPr>
          <w:cantSplit w:val="1"/>
          <w:jc w:val="center"/>
        </w:trPr>
        <w:tc>
          <w:tcPr>
            <w:tcW w:w="3402" w:type="dxa"/>
            <w:vAlign w:val="center"/>
          </w:tcPr>
          <w:p w14:paraId="55E8AA45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羽絨服</w:t>
            </w:r>
          </w:p>
        </w:tc>
        <w:tc>
          <w:tcPr>
            <w:tcW w:w="3402" w:type="dxa"/>
            <w:vAlign w:val="center"/>
          </w:tcPr>
          <w:p w14:paraId="59D907E2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9</w:t>
            </w:r>
          </w:p>
        </w:tc>
      </w:tr>
    </w:tbl>
    <w:p w14:paraId="6C9C5E6A">
      <w:pPr>
        <w:pStyle w:val="000006"/>
        <w:spacing w:before="160" w:after="60"/>
      </w:pPr>
      <w:r>
        <w:rPr>
          <w:rFonts w:hint="eastAsia" w:ascii="Arial" w:hAnsi="Arial" w:eastAsia="黑体"/>
        </w:rPr>
        <w:t>編碼範例解析</w:t>
      </w:r>
    </w:p>
    <w:p w14:paraId="45DEF2FB">
      <w:pPr>
        <w:pBdr>
          <w:top w:val="single" w:color="D9D9D9" w:sz="4" w:space="4"/>
          <w:left w:val="single" w:color="E10600" w:sz="24" w:space="4"/>
          <w:bottom w:val="single" w:color="D9D9D9" w:sz="4" w:space="4"/>
          <w:right w:val="single" w:color="D9D9D9" w:sz="4" w:space="4"/>
        </w:pBdr>
        <w:shd w:val="clear" w:color="auto" w:fill="F2F2F2"/>
        <w:spacing w:before="120" w:after="120" w:line="288" w:lineRule="auto"/>
        <w:jc w:val="center"/>
      </w:pPr>
      <w:r>
        <w:rPr>
          <w:rFonts w:eastAsia="黑体"/>
          <w:b w:val="1"/>
          <w:color w:val="1F3864"/>
          <w:sz w:val="28"/>
        </w:rPr>
        <w:t>F11W</w:t>
      </w:r>
      <w:r>
        <w:rPr>
          <w:rFonts w:hint="eastAsia" w:eastAsia="黑体"/>
          <w:b w:val="1"/>
          <w:color w:val="1F3864"/>
          <w:sz w:val="28"/>
          <w:lang w:eastAsia="zh-CN"/>
        </w:rPr>
        <w:t>64</w:t>
      </w:r>
      <w:r>
        <w:rPr>
          <w:rFonts w:eastAsia="黑体"/>
          <w:b w:val="1"/>
          <w:color w:val="1F3864"/>
          <w:sz w:val="28"/>
        </w:rPr>
        <w:t>8103FBK</w:t>
      </w:r>
    </w:p>
    <w:p w14:paraId="151C655F">
      <w:pPr>
        <w:keepNext w:val="1"/>
        <w:spacing w:before="120" w:after="80" w:line="240" w:lineRule="auto"/>
        <w:jc w:val="center"/>
      </w:pPr>
      <w:r>
        <w:rPr>
          <w:rFonts w:hint="eastAsia" w:eastAsia="黑体"/>
          <w:b w:val="1"/>
          <w:color w:val="1F3864"/>
          <w:sz w:val="21"/>
        </w:rPr>
        <w:t>表5 編碼範例解析（F11W</w:t>
      </w:r>
      <w:r>
        <w:rPr>
          <w:rFonts w:hint="eastAsia" w:eastAsia="黑体"/>
          <w:b w:val="1"/>
          <w:color w:val="1F3864"/>
          <w:sz w:val="21"/>
          <w:lang w:eastAsia="zh-CN"/>
        </w:rPr>
        <w:t>64</w:t>
      </w:r>
      <w:r>
        <w:rPr>
          <w:rFonts w:hint="eastAsia" w:eastAsia="黑体"/>
          <w:b w:val="1"/>
          <w:color w:val="1F3864"/>
          <w:sz w:val="21"/>
        </w:rPr>
        <w:t>8103FBK）</w:t>
      </w:r>
    </w:p>
    <w:tbl>
      <w:tblPr>
        <w:tblStyle w:val="000048"/>
        <w:tblW w:w="0" w:type="auto"/>
        <w:jc w:val="center"/>
        <w:tblLayout w:type="fixed"/>
        <w:tblLook w:firstRow="1" w:lastRow="0" w:firstColumn="1" w:lastColumn="0" w:noHBand="0" w:noVBand="1" w:val="04A0"/>
      </w:tblPr>
      <w:tblGrid>
        <w:gridCol w:w="1701"/>
        <w:gridCol w:w="1361"/>
        <w:gridCol w:w="1247"/>
        <w:gridCol w:w="1247"/>
        <w:gridCol w:w="1020"/>
        <w:gridCol w:w="1247"/>
        <w:gridCol w:w="1247"/>
      </w:tblGrid>
      <w:tr>
        <w:trPr>
          <w:cantSplit w:val="1"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7D69AD59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編碼位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5A2C263E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休閒標識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6AC3FC8D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服裝分類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7BBC99DE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女裝標識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0D67C207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季度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608B3B11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款號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5865E1AD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顏色編碼</w:t>
            </w:r>
          </w:p>
        </w:tc>
      </w:tr>
      <w:tr>
        <w:trPr>
          <w:cantSplit w:val="1"/>
          <w:jc w:val="center"/>
        </w:trPr>
        <w:tc>
          <w:tcPr>
            <w:tcW w:w="1701" w:type="dxa"/>
            <w:vAlign w:val="center"/>
          </w:tcPr>
          <w:p w14:paraId="3A84A88A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對應</w:t>
            </w:r>
          </w:p>
        </w:tc>
        <w:tc>
          <w:tcPr>
            <w:tcW w:w="1361" w:type="dxa"/>
            <w:vAlign w:val="center"/>
          </w:tcPr>
          <w:p w14:paraId="0E4276F3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F</w:t>
            </w:r>
          </w:p>
        </w:tc>
        <w:tc>
          <w:tcPr>
            <w:tcW w:w="1247" w:type="dxa"/>
            <w:vAlign w:val="center"/>
          </w:tcPr>
          <w:p w14:paraId="26DA0053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11</w:t>
            </w:r>
          </w:p>
        </w:tc>
        <w:tc>
          <w:tcPr>
            <w:tcW w:w="1247" w:type="dxa"/>
            <w:vAlign w:val="center"/>
          </w:tcPr>
          <w:p w14:paraId="144B44E6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W</w:t>
            </w:r>
          </w:p>
        </w:tc>
        <w:tc>
          <w:tcPr>
            <w:tcW w:w="1020" w:type="dxa"/>
            <w:vAlign w:val="center"/>
          </w:tcPr>
          <w:p w14:paraId="269EEFBE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hint="eastAsia"/>
                <w:color w:val="262626"/>
                <w:sz w:val="21"/>
                <w:lang w:eastAsia="zh-CN"/>
              </w:rPr>
              <w:t>64</w:t>
            </w:r>
          </w:p>
        </w:tc>
        <w:tc>
          <w:tcPr>
            <w:tcW w:w="1247" w:type="dxa"/>
            <w:vAlign w:val="center"/>
          </w:tcPr>
          <w:p w14:paraId="3A600ABD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8103</w:t>
            </w:r>
          </w:p>
        </w:tc>
        <w:tc>
          <w:tcPr>
            <w:tcW w:w="1247" w:type="dxa"/>
            <w:vAlign w:val="center"/>
          </w:tcPr>
          <w:p w14:paraId="1188CFC7">
            <w:pPr>
              <w:spacing w:before="40" w:after="40" w:line="240" w:lineRule="auto"/>
              <w:jc w:val="center"/>
            </w:pPr>
            <w:r>
              <w:rPr>
                <w:color w:val="262626"/>
                <w:sz w:val="21"/>
              </w:rPr>
              <w:t>FBK</w:t>
            </w:r>
          </w:p>
        </w:tc>
      </w:tr>
    </w:tbl>
    <w:p w14:paraId="7EE03783">
      <w:pPr>
        <w:pBdr>
          <w:top w:val="single" w:color="D9D9D9" w:sz="4" w:space="4"/>
          <w:left w:val="single" w:color="E10600" w:sz="24" w:space="4"/>
          <w:bottom w:val="single" w:color="D9D9D9" w:sz="4" w:space="4"/>
          <w:right w:val="single" w:color="D9D9D9" w:sz="4" w:space="4"/>
        </w:pBdr>
        <w:shd w:val="clear" w:color="auto" w:fill="F2F2F2"/>
        <w:spacing w:before="120" w:after="120" w:line="336" w:lineRule="auto"/>
        <w:jc w:val="both"/>
      </w:pPr>
      <w:r>
        <w:rPr>
          <w:rFonts w:hint="eastAsia" w:eastAsia="黑体"/>
          <w:b w:val="1"/>
          <w:color w:val="1F3864"/>
        </w:rPr>
        <w:t>重點規範：</w:t>
      </w:r>
      <w:r>
        <w:rPr>
          <w:rFonts w:hint="eastAsia"/>
          <w:color w:val="262626"/>
        </w:rPr>
        <w:t>顏色編碼必須與貨品吊牌完全一致（例：FBK / ABK / EBK），嚴禁私自簡寫、修改編碼。</w:t>
      </w:r>
    </w:p>
    <w:p w14:paraId="7ABE978B">
      <w:pPr>
        <w:pStyle w:val="000004"/>
        <w:spacing w:after="80"/>
      </w:pPr>
      <w:bookmarkStart w:id="17" w:name="_Toc240846187"/>
      <w:r>
        <w:rPr>
          <w:rFonts w:hint="eastAsia" w:ascii="Arial" w:hAnsi="Arial" w:eastAsia="黑体"/>
        </w:rPr>
        <w:t>4.4 倉庫貨品擺放標準</w:t>
      </w:r>
      <w:bookmarkEnd w:id="17"/>
    </w:p>
    <w:p w14:paraId="7CC8B28B">
      <w:pPr>
        <w:jc w:val="both"/>
      </w:pPr>
      <w:r>
        <w:rPr>
          <w:b w:val="1"/>
          <w:color w:val="1F3864"/>
        </w:rPr>
        <w:t xml:space="preserve">1. </w:t>
      </w:r>
      <w:r>
        <w:rPr>
          <w:rFonts w:hint="eastAsia"/>
          <w:color w:val="262626"/>
        </w:rPr>
        <w:t>區域劃分：先劃分服裝APP、鞋類FOT、配件ACC三大區域，各區域再細分男、女裝專區，最終按子系列、上市季度依次排序擺放。</w:t>
      </w:r>
    </w:p>
    <w:p w14:paraId="3A7672DC">
      <w:pPr>
        <w:jc w:val="both"/>
      </w:pPr>
      <w:r>
        <w:rPr>
          <w:b w:val="1"/>
          <w:color w:val="1F3864"/>
        </w:rPr>
        <w:t xml:space="preserve">2. </w:t>
      </w:r>
      <w:r>
        <w:rPr>
          <w:rFonts w:hint="eastAsia"/>
          <w:color w:val="262626"/>
        </w:rPr>
        <w:t>貨品分隔：所有貨品之間必須使用分類鐵牌隔離，全程依照標準順序整齊排列，不得混亂堆放。</w:t>
      </w:r>
    </w:p>
    <w:p w14:paraId="6D213F35">
      <w:pPr>
        <w:jc w:val="both"/>
      </w:pPr>
      <w:r>
        <w:rPr>
          <w:b w:val="1"/>
          <w:color w:val="1F3864"/>
        </w:rPr>
        <w:t xml:space="preserve">3. </w:t>
      </w:r>
      <w:r>
        <w:rPr>
          <w:rFonts w:hint="eastAsia"/>
          <w:color w:val="262626"/>
        </w:rPr>
        <w:t>鐵牌書寫規範：標註清晰季度、貨品系列、顏色CODE；男裝統一使用藍色筆書寫，女裝統一使用紅色筆書寫。</w:t>
      </w:r>
    </w:p>
    <w:p w14:paraId="2F82B390">
      <w:pPr>
        <w:jc w:val="both"/>
      </w:pPr>
      <w:r>
        <w:rPr>
          <w:b w:val="1"/>
          <w:color w:val="1F3864"/>
        </w:rPr>
        <w:t xml:space="preserve">4. </w:t>
      </w:r>
      <w:r>
        <w:rPr>
          <w:rFonts w:hint="eastAsia"/>
          <w:color w:val="262626"/>
        </w:rPr>
        <w:t>服裝分層邏輯：以「大系列→子系列→男女分區」為核心擺放準則。</w:t>
      </w:r>
    </w:p>
    <w:p w14:paraId="442F76F3">
      <w:pPr>
        <w:jc w:val="both"/>
      </w:pPr>
      <w:r>
        <w:rPr>
          <w:b w:val="1"/>
          <w:color w:val="1F3864"/>
        </w:rPr>
        <w:t xml:space="preserve">5. </w:t>
      </w:r>
      <w:r>
        <w:rPr>
          <w:rFonts w:hint="eastAsia"/>
          <w:color w:val="262626"/>
        </w:rPr>
        <w:t>分類存放：鞋類、服裝、配件獨立分區存放，依款號排序；同款貨品尺碼統一由小到大排列：S-M-L-XL-2XL-3XL。</w:t>
      </w:r>
    </w:p>
    <w:p w14:paraId="00DA2B73">
      <w:pPr>
        <w:numPr>
          <w:ilvl w:val="0"/>
          <w:numId w:val="1"/>
        </w:numPr>
        <w:pBdr/>
        <w:ind/>
        <w:jc w:val="both"/>
        <w:rPr>
          <w:color w:val="262626"/>
        </w:rPr>
      </w:pPr>
      <w:r>
        <w:rPr>
          <w:rFonts w:hint="eastAsia"/>
          <w:color w:val="262626"/>
        </w:rPr>
        <w:t>空位不足處理：單一區域空間不足時，同款貨品可分區擺放，但每一個堆放位置均須設立鐵牌隔離標示，確保清晰可辨。</w:t>
      </w:r>
    </w:p>
    <w:p w14:paraId="27250A4B">
      <w:pPr>
        <w:pBdr/>
        <w:ind w:left="0"/>
        <w:jc w:val="both"/>
        <w:rPr>
          <w:color w:val="262626"/>
        </w:rPr>
      </w:pPr>
    </w:p>
    <w:p w14:paraId="456C525A">
      <w:pPr>
        <w:pBdr/>
        <w:ind w:left="0"/>
        <w:jc w:val="both"/>
        <w:rPr>
          <w:color w:val="262626"/>
        </w:rPr>
      </w:pPr>
    </w:p>
    <w:p w14:paraId="6BB57348">
      <w:pPr>
        <w:pBdr/>
        <w:ind w:left="0"/>
        <w:jc w:val="both"/>
        <w:rPr>
          <w:color w:val="262626"/>
        </w:rPr>
      </w:pPr>
    </w:p>
    <w:p w14:paraId="09828BB9">
      <w:pPr>
        <w:pBdr/>
        <w:ind w:left="0"/>
        <w:jc w:val="both"/>
        <w:rPr>
          <w:color w:val="262626"/>
        </w:rPr>
      </w:pPr>
    </w:p>
    <w:p w14:paraId="2FB8ABCD">
      <w:pPr>
        <w:pBdr/>
        <w:ind w:left="0"/>
        <w:jc w:val="both"/>
        <w:rPr>
          <w:color w:val="262626"/>
        </w:rPr>
      </w:pPr>
    </w:p>
    <w:p w14:paraId="4E70C3DC">
      <w:pPr>
        <w:pBdr/>
        <w:ind w:left="0"/>
        <w:jc w:val="both"/>
        <w:rPr>
          <w:color w:val="262626"/>
        </w:rPr>
      </w:pPr>
    </w:p>
    <w:p w14:paraId="72DD0BC0">
      <w:pPr>
        <w:pBdr/>
        <w:ind w:left="0"/>
        <w:jc w:val="both"/>
        <w:rPr>
          <w:color w:val="262626"/>
        </w:rPr>
      </w:pPr>
      <w:r>
        <w:rPr>
          <w:color w:val="262626"/>
        </w:rPr>
        <w:br w:type="textWrapping"/>
      </w:r>
    </w:p>
    <w:p w14:paraId="1094F3CF">
      <w:pPr>
        <w:pBdr/>
        <w:ind w:left="0"/>
        <w:jc w:val="both"/>
        <w:rPr>
          <w:color w:val="262626"/>
        </w:rPr>
      </w:pPr>
    </w:p>
    <w:p w14:paraId="374AD3DF">
      <w:pPr>
        <w:pBdr/>
        <w:ind w:left="0"/>
        <w:jc w:val="both"/>
        <w:rPr>
          <w:color w:val="262626"/>
        </w:rPr>
      </w:pPr>
    </w:p>
    <w:p w14:paraId="5502BBCC">
      <w:pPr>
        <w:pBdr/>
        <w:ind w:left="0"/>
        <w:jc w:val="both"/>
        <w:rPr>
          <w:color w:val="262626"/>
        </w:rPr>
      </w:pPr>
    </w:p>
    <w:p w14:paraId="7B38AB3E">
      <w:pPr>
        <w:pBdr/>
        <w:ind w:left="0"/>
        <w:jc w:val="both"/>
        <w:rPr>
          <w:color w:val="262626"/>
        </w:rPr>
      </w:pPr>
    </w:p>
    <w:p w14:paraId="19F34049">
      <w:pPr>
        <w:pBdr/>
        <w:ind w:left="0"/>
        <w:jc w:val="both"/>
        <w:rPr>
          <w:color w:val="262626"/>
        </w:rPr>
      </w:pPr>
    </w:p>
    <w:p w14:paraId="3FAA7C59">
      <w:pPr>
        <w:pBdr/>
        <w:ind w:left="0"/>
        <w:jc w:val="both"/>
        <w:rPr>
          <w:color w:val="262626"/>
        </w:rPr>
      </w:pPr>
    </w:p>
    <w:p w14:paraId="4FAC54D6">
      <w:pPr>
        <w:numPr>
          <w:ilvl w:val="0"/>
          <w:numId w:val="1"/>
        </w:numPr>
        <w:pBdr/>
        <w:ind/>
        <w:jc w:val="both"/>
        <w:rPr>
          <w:color w:val="262626"/>
          <w:lang w:eastAsia="zh-CN"/>
        </w:rPr>
      </w:pPr>
      <w:r>
        <w:rPr>
          <w:rFonts w:hint="eastAsia" w:ascii="Microsoft YaHei UI" w:hAnsi="Microsoft YaHei UI" w:eastAsia="Microsoft YaHei UI" w:cs="Microsoft YaHei UI"/>
          <w:b w:val="1"/>
          <w:i w:val="0"/>
          <w:strike w:val="0"/>
          <w:color w:val="000000"/>
          <w:sz w:val="28"/>
          <w:u w:val="none"/>
        </w:rPr>
        <w:t>倉庫貨品擺放標準</w:t>
      </w:r>
    </w:p>
    <w:p w14:paraId="1D9DEE25">
      <w:pPr>
        <w:pBdr>
          <w:bottom/>
        </w:pBdr>
        <w:snapToGrid w:val="1"/>
        <w:spacing w:before="100" w:after="200" w:line="276"/>
        <w:ind w:left="0" w:right="0"/>
      </w:pPr>
      <w:r>
        <w:rPr>
          <w:rFonts w:hint="eastAsia" w:ascii="Microsoft YaHei UI" w:hAnsi="Microsoft YaHei UI" w:eastAsia="Microsoft YaHei UI" w:cs="Microsoft YaHei UI"/>
          <w:b w:val="1"/>
          <w:i w:val="0"/>
          <w:strike w:val="0"/>
          <w:color w:val="000000"/>
          <w:sz w:val="28"/>
          <w:u w:val="none"/>
          <w:lang w:eastAsia="zh-CN"/>
        </w:rPr>
        <w:tab/>
      </w:r>
      <w:r>
        <w:rPr>
          <w:rFonts w:hint="eastAsia" w:ascii="Microsoft YaHei UI" w:hAnsi="Microsoft YaHei UI" w:eastAsia="Microsoft YaHei UI" w:cs="Microsoft YaHei UI"/>
          <w:b w:val="1"/>
          <w:i w:val="0"/>
          <w:strike w:val="0"/>
          <w:color w:val="000000"/>
          <w:sz w:val="28"/>
          <w:u w:val="none"/>
          <w:lang w:eastAsia="zh-CN"/>
        </w:rPr>
        <w:drawing>
          <wp:inline distT="0" distB="0" distL="0" distR="0">
            <wp:extent cx="1962150" cy="5638800"/>
            <wp:effectExtent l="0" t="0" r="0" b="0"/>
            <wp:docPr id="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" name="picture" descr="descript"/>
                    <pic:cNvPicPr/>
                  </pic:nvPicPr>
                  <pic:blipFill rotWithShape="1">
                    <a:blip r:embed="rId9"/>
                    <a:stretch/>
                  </pic:blipFill>
                  <pic:spPr>
                    <a:xfrm flipH="0" flipV="0">
                      <a:off x="0" y="0"/>
                      <a:ext cx="196215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b w:val="1"/>
          <w:i w:val="0"/>
          <w:strike w:val="0"/>
          <w:color w:val="000000"/>
          <w:sz w:val="28"/>
          <w:u w:val="none"/>
          <w:lang w:eastAsia="zh-CN"/>
        </w:rPr>
        <w:drawing>
          <wp:inline distT="0" distB="0" distL="0" distR="0">
            <wp:extent cx="2333625" cy="5638800"/>
            <wp:effectExtent l="0" t="0" r="0" b="0"/>
            <wp:docPr id="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" name="picture" descr="descript"/>
                    <pic:cNvPicPr/>
                  </pic:nvPicPr>
                  <pic:blipFill rotWithShape="1">
                    <a:blip r:embed="rId10"/>
                    <a:stretch/>
                  </pic:blipFill>
                  <pic:spPr>
                    <a:xfrm flipH="0" flipV="0">
                      <a:off x="0" y="0"/>
                      <a:ext cx="233362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FED46">
      <w:pPr>
        <w:jc w:val="both"/>
        <w:rPr>
          <w:lang w:eastAsia="zh-CN"/>
        </w:rPr>
      </w:pPr>
      <w:r>
        <w:rPr>
          <w:color w:val="262626"/>
          <w:lang w:eastAsia="zh-CN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14:paraId="01B1659E">
      <w:pPr>
        <w:pStyle w:val="000002"/>
        <w:pBdr>
          <w:left w:val="nil"/>
          <w:right w:val="nil"/>
        </w:pBdr>
        <w:spacing w:before="360" w:after="200"/>
        <w:ind/>
        <w:rPr>
          <w:rFonts w:ascii="Arial" w:hAnsi="Arial" w:eastAsia="黑体"/>
        </w:rPr>
      </w:pPr>
      <w:bookmarkStart w:id="18" w:name="_Toc240846188"/>
    </w:p>
    <w:p w14:paraId="27EA480C">
      <w:pPr>
        <w:pStyle w:val="000002"/>
        <w:pBdr>
          <w:left w:val="nil"/>
          <w:right w:val="nil"/>
        </w:pBdr>
        <w:spacing w:before="360" w:after="200"/>
        <w:ind/>
        <w:rPr>
          <w:rFonts w:ascii="Arial" w:hAnsi="Arial" w:eastAsia="黑体"/>
        </w:rPr>
      </w:pPr>
    </w:p>
    <w:p w14:paraId="6A4840DE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r>
        <w:rPr>
          <w:rFonts w:hint="eastAsia" w:ascii="Arial" w:hAnsi="Arial" w:eastAsia="黑体"/>
        </w:rPr>
        <w:t>5. 服裝水貨折疊、包裝規範（正確&amp;錯誤示範）</w:t>
      </w:r>
      <w:bookmarkEnd w:id="18"/>
    </w:p>
    <w:p w14:paraId="70ED824D">
      <w:pPr>
        <w:pBdr>
          <w:top w:val="single" w:color="D9D9D9" w:sz="4" w:space="4"/>
          <w:left w:val="single" w:color="E10600" w:sz="24" w:space="4"/>
          <w:bottom w:val="single" w:color="D9D9D9" w:sz="4" w:space="4"/>
          <w:right w:val="single" w:color="D9D9D9" w:sz="4" w:space="4"/>
        </w:pBdr>
        <w:shd w:val="clear" w:color="auto" w:fill="F2F2F2"/>
        <w:spacing w:before="120" w:after="120" w:line="336" w:lineRule="auto"/>
        <w:jc w:val="both"/>
      </w:pPr>
      <w:r>
        <w:rPr>
          <w:rFonts w:hint="eastAsia" w:eastAsia="黑体"/>
          <w:b w:val="1"/>
          <w:color w:val="1F3864"/>
        </w:rPr>
        <w:t>強制核心要求：</w:t>
      </w:r>
      <w:r>
        <w:rPr>
          <w:rFonts w:hint="eastAsia"/>
          <w:color w:val="262626"/>
        </w:rPr>
        <w:t>所有服裝貨品折疊、包裝完畢後，吊牌必須翻轉朝外，保持正面完整可見，方便核對查驗</w:t>
      </w:r>
      <w:r>
        <w:rPr>
          <w:rFonts w:hint="eastAsia"/>
          <w:color w:val="262626"/>
        </w:rPr>
        <w:t>,如有疑問就拆一件新的看看如何折衫,衣服怎麽拿出去就怎麽折回來.</w:t>
      </w:r>
    </w:p>
    <w:p w14:paraId="62ACB543">
      <w:pPr>
        <w:pStyle w:val="000004"/>
        <w:spacing w:after="80"/>
      </w:pPr>
      <w:bookmarkStart w:id="19" w:name="_Toc240846189"/>
      <w:r>
        <w:rPr>
          <w:rFonts w:hint="eastAsia" w:ascii="Arial" w:hAnsi="Arial" w:eastAsia="黑体"/>
        </w:rPr>
        <w:t>標準折疊適用品類</w:t>
      </w:r>
      <w:bookmarkEnd w:id="19"/>
    </w:p>
    <w:p w14:paraId="16B2BDC2">
      <w:pPr>
        <w:pStyle w:val="00002b"/>
        <w:jc w:val="both"/>
      </w:pPr>
      <w:r>
        <w:rPr>
          <w:rFonts w:hint="eastAsia"/>
          <w:color w:val="262626"/>
        </w:rPr>
        <w:t>連帽T恤、短袖T恤</w:t>
      </w:r>
    </w:p>
    <w:p w14:paraId="62267CF6">
      <w:pPr>
        <w:pStyle w:val="00002b"/>
        <w:jc w:val="both"/>
      </w:pPr>
      <w:r>
        <w:rPr>
          <w:rFonts w:hint="eastAsia"/>
          <w:color w:val="262626"/>
        </w:rPr>
        <w:t>連衣裙、針織上衣</w:t>
      </w:r>
    </w:p>
    <w:p w14:paraId="7994E020">
      <w:pPr>
        <w:pStyle w:val="00002b"/>
        <w:jc w:val="both"/>
      </w:pPr>
      <w:r>
        <w:rPr>
          <w:rFonts w:hint="eastAsia"/>
          <w:color w:val="262626"/>
        </w:rPr>
        <w:t>各式外套、褲裝</w:t>
      </w:r>
    </w:p>
    <w:p w14:paraId="5F672801">
      <w:pPr>
        <w:pStyle w:val="000004"/>
        <w:spacing w:after="80"/>
      </w:pPr>
      <w:bookmarkStart w:id="20" w:name="_Toc240846190"/>
      <w:r>
        <w:rPr>
          <w:rFonts w:hint="eastAsia" w:ascii="Arial" w:hAnsi="Arial" w:eastAsia="黑体"/>
        </w:rPr>
        <w:t>正確示範</w:t>
      </w:r>
      <w:bookmarkEnd w:id="20"/>
    </w:p>
    <w:p w14:paraId="13769C49">
      <w:pPr>
        <w:jc w:val="both"/>
      </w:pPr>
      <w:r>
        <w:rPr>
          <w:rFonts w:hint="eastAsia"/>
          <w:color w:val="262626"/>
        </w:rPr>
        <w:t>標準折疊與包裝示範如下（折疊平整 → 吊牌朝外 → 對應尺碼袋規範包裝）：</w:t>
      </w:r>
    </w:p>
    <w:tbl>
      <w:tblPr>
        <w:tblW w:w="0" w:type="auto"/>
        <w:jc w:val="center"/>
        <w:tblLayout w:type="fixed"/>
        <w:tblLook w:firstRow="1" w:lastRow="0" w:firstColumn="1" w:lastColumn="0" w:noHBand="0" w:noVBand="1" w:val="04A0"/>
      </w:tblPr>
      <w:tblGrid>
        <w:gridCol w:w="4535"/>
        <w:gridCol w:w="4535"/>
      </w:tblGrid>
      <w:tr>
        <w:trPr>
          <w:cantSplit w:val="1"/>
          <w:jc w:val="center"/>
        </w:trPr>
        <w:tc>
          <w:tcPr>
            <w:tcW w:w="4535" w:type="dxa"/>
          </w:tcPr>
          <w:p w14:paraId="485661E7">
            <w:pPr>
              <w:spacing w:before="80" w:after="40" w:line="240" w:lineRule="auto"/>
              <w:jc w:val="center"/>
            </w:pPr>
            <w:r>
              <w:rPr>
                <w:noProof w:val="1"/>
              </w:rPr>
              <w:drawing>
                <wp:inline distT="0" distB="0" distL="0" distR="0">
                  <wp:extent cx="2376000" cy="3861876"/>
                  <wp:effectExtent l="0" t="0" r="0" b="0"/>
                  <wp:docPr id="8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微信图片_20260920230348_263_14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3861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6BC67">
            <w:pPr>
              <w:spacing w:after="80" w:line="240" w:lineRule="auto"/>
              <w:jc w:val="center"/>
            </w:pPr>
            <w:r>
              <w:rPr>
                <w:rFonts w:hint="eastAsia"/>
                <w:b w:val="1"/>
                <w:color w:val="595959"/>
                <w:sz w:val="21"/>
              </w:rPr>
              <w:t>圖1 正確示範：帶帽T恤</w:t>
            </w:r>
          </w:p>
        </w:tc>
        <w:tc>
          <w:tcPr>
            <w:tcW w:w="4535" w:type="dxa"/>
          </w:tcPr>
          <w:p w14:paraId="78A67AF4">
            <w:pPr>
              <w:spacing w:before="80" w:after="40" w:line="240" w:lineRule="auto"/>
              <w:jc w:val="center"/>
            </w:pPr>
            <w:r>
              <w:rPr>
                <w:noProof w:val="1"/>
              </w:rPr>
              <w:drawing>
                <wp:inline distT="0" distB="0" distL="0" distR="0">
                  <wp:extent cx="2376000" cy="2868631"/>
                  <wp:effectExtent l="0" t="0" r="0" b="0"/>
                  <wp:docPr id="11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微信图片_20260920230351_266_1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2868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C7E40B">
            <w:pPr>
              <w:spacing w:after="80" w:line="240" w:lineRule="auto"/>
              <w:jc w:val="center"/>
            </w:pPr>
            <w:r>
              <w:rPr>
                <w:rFonts w:hint="eastAsia"/>
                <w:b w:val="1"/>
                <w:color w:val="595959"/>
                <w:sz w:val="21"/>
              </w:rPr>
              <w:t>圖2 正確示範：短袖T恤</w:t>
            </w:r>
          </w:p>
        </w:tc>
      </w:tr>
      <w:tr>
        <w:trPr>
          <w:cantSplit w:val="1"/>
          <w:jc w:val="center"/>
        </w:trPr>
        <w:tc>
          <w:tcPr>
            <w:tcW w:w="4535" w:type="dxa"/>
          </w:tcPr>
          <w:p w14:paraId="6DD09E96">
            <w:pPr>
              <w:spacing w:before="80" w:after="40" w:line="240" w:lineRule="auto"/>
              <w:jc w:val="center"/>
            </w:pPr>
            <w:r>
              <w:rPr>
                <w:noProof w:val="1"/>
              </w:rPr>
              <w:drawing>
                <wp:inline distT="0" distB="0" distL="0" distR="0">
                  <wp:extent cx="2376000" cy="4535630"/>
                  <wp:effectExtent l="0" t="0" r="0" b="0"/>
                  <wp:docPr id="14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微信图片_20260920230349_264_1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453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60D6F4">
            <w:pPr>
              <w:spacing w:after="80" w:line="240" w:lineRule="auto"/>
              <w:jc w:val="center"/>
            </w:pPr>
            <w:r>
              <w:rPr>
                <w:rFonts w:hint="eastAsia"/>
                <w:b w:val="1"/>
                <w:color w:val="595959"/>
                <w:sz w:val="21"/>
              </w:rPr>
              <w:t>圖3 正確示範：連衣裙</w:t>
            </w:r>
          </w:p>
        </w:tc>
        <w:tc>
          <w:tcPr>
            <w:tcW w:w="4535" w:type="dxa"/>
          </w:tcPr>
          <w:p w14:paraId="59233AC3">
            <w:pPr>
              <w:spacing w:before="80" w:after="40" w:line="240" w:lineRule="auto"/>
              <w:jc w:val="center"/>
            </w:pPr>
            <w:r>
              <w:rPr>
                <w:noProof w:val="1"/>
              </w:rPr>
              <w:drawing>
                <wp:inline distT="0" distB="0" distL="0" distR="0">
                  <wp:extent cx="2376000" cy="2613978"/>
                  <wp:effectExtent l="0" t="0" r="0" b="0"/>
                  <wp:docPr id="17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微信图片_20260920230350_265_14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2613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9228E0">
            <w:pPr>
              <w:spacing w:after="80" w:line="240" w:lineRule="auto"/>
              <w:jc w:val="center"/>
            </w:pPr>
            <w:r>
              <w:rPr>
                <w:rFonts w:hint="eastAsia"/>
                <w:b w:val="1"/>
                <w:color w:val="595959"/>
                <w:sz w:val="21"/>
              </w:rPr>
              <w:t>圖4 正確示範：外套</w:t>
            </w:r>
          </w:p>
        </w:tc>
      </w:tr>
      <w:tr>
        <w:trPr>
          <w:cantSplit w:val="1"/>
          <w:jc w:val="center"/>
        </w:trPr>
        <w:tc>
          <w:tcPr>
            <w:tcW w:w="4535" w:type="dxa"/>
          </w:tcPr>
          <w:p w14:paraId="3FE0F95E">
            <w:pPr>
              <w:spacing w:before="80" w:after="40" w:line="240" w:lineRule="auto"/>
              <w:jc w:val="center"/>
            </w:pPr>
            <w:r>
              <w:rPr>
                <w:noProof w:val="1"/>
              </w:rPr>
              <w:drawing>
                <wp:inline distT="0" distB="0" distL="0" distR="0">
                  <wp:extent cx="2376000" cy="1662095"/>
                  <wp:effectExtent l="0" t="0" r="0" b="0"/>
                  <wp:docPr id="20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微信图片_20260920230352_267_14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66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CB6E6E">
            <w:pPr>
              <w:spacing w:after="80" w:line="240" w:lineRule="auto"/>
              <w:jc w:val="center"/>
            </w:pPr>
            <w:r>
              <w:rPr>
                <w:rFonts w:hint="eastAsia"/>
                <w:b w:val="1"/>
                <w:color w:val="595959"/>
                <w:sz w:val="21"/>
              </w:rPr>
              <w:t>圖5 正確示範：褲裝</w:t>
            </w:r>
          </w:p>
        </w:tc>
        <w:tc>
          <w:tcPr>
            <w:tcW w:w="4535" w:type="dxa"/>
          </w:tcPr>
          <w:p w14:paraId="7B583F49">
            <w:pPr/>
          </w:p>
        </w:tc>
      </w:tr>
    </w:tbl>
    <w:p w14:paraId="7D225629">
      <w:pPr>
        <w:pStyle w:val="000004"/>
        <w:spacing w:after="80"/>
      </w:pPr>
      <w:bookmarkStart w:id="21" w:name="_Toc240846191"/>
      <w:r>
        <w:rPr>
          <w:rFonts w:hint="eastAsia" w:ascii="Arial" w:hAnsi="Arial" w:eastAsia="黑体"/>
        </w:rPr>
        <w:t>禁止錯誤示範</w:t>
      </w:r>
      <w:bookmarkEnd w:id="21"/>
    </w:p>
    <w:p w14:paraId="29506C9D">
      <w:pPr>
        <w:pStyle w:val="00002b"/>
        <w:jc w:val="both"/>
      </w:pPr>
      <w:r>
        <w:rPr>
          <w:rFonts w:hint="eastAsia"/>
          <w:color w:val="262626"/>
        </w:rPr>
        <w:t>衣物折疊皺褶、凌亂變形</w:t>
      </w:r>
    </w:p>
    <w:p w14:paraId="0D63977C">
      <w:pPr>
        <w:pStyle w:val="00002b"/>
        <w:jc w:val="both"/>
      </w:pPr>
      <w:r>
        <w:rPr>
          <w:rFonts w:hint="eastAsia"/>
          <w:color w:val="262626"/>
        </w:rPr>
        <w:t>吊牌隱藏於衣物內側、無法查看</w:t>
      </w:r>
    </w:p>
    <w:p w14:paraId="40B7185C">
      <w:pPr>
        <w:pStyle w:val="00002b"/>
        <w:jc w:val="both"/>
      </w:pPr>
      <w:r>
        <w:rPr>
          <w:rFonts w:hint="eastAsia"/>
          <w:color w:val="262626"/>
        </w:rPr>
        <w:t>包裝袋內衣物擺放雜亂、擠壓變形</w:t>
      </w:r>
    </w:p>
    <w:p w14:paraId="4B2E509F">
      <w:pPr>
        <w:keepNext w:val="1"/>
        <w:spacing w:before="80" w:line="240" w:lineRule="auto"/>
        <w:jc w:val="center"/>
      </w:pPr>
      <w:r>
        <w:rPr>
          <w:noProof w:val="1"/>
        </w:rPr>
        <w:drawing>
          <wp:inline distT="0" distB="0" distL="0" distR="0">
            <wp:extent cx="3240000" cy="3578131"/>
            <wp:effectExtent l="0" t="0" r="0" b="0"/>
            <wp:docPr id="23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微信图片_20260920230353_268_14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578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7BD60">
      <w:pPr>
        <w:spacing w:before="80" w:after="160" w:line="240" w:lineRule="auto"/>
        <w:jc w:val="center"/>
      </w:pPr>
      <w:r>
        <w:rPr>
          <w:rFonts w:hint="eastAsia"/>
          <w:b w:val="1"/>
          <w:color w:val="595959"/>
          <w:sz w:val="21"/>
        </w:rPr>
        <w:t>圖6 錯誤示範：折疊皺褶、吊牌隱藏、包裝凌亂（禁止仿效）</w:t>
      </w:r>
    </w:p>
    <w:p w14:paraId="5188EF01">
      <w:pPr>
        <w:pStyle w:val="000004"/>
        <w:spacing w:after="80"/>
      </w:pPr>
      <w:bookmarkStart w:id="22" w:name="_Toc240846192"/>
      <w:r>
        <w:rPr>
          <w:rFonts w:hint="eastAsia" w:ascii="Arial" w:hAnsi="Arial" w:eastAsia="黑体"/>
        </w:rPr>
        <w:t>作業要求</w:t>
      </w:r>
      <w:bookmarkEnd w:id="22"/>
    </w:p>
    <w:p w14:paraId="0D45DF1F">
      <w:pPr>
        <w:ind w:firstLine="480"/>
        <w:jc w:val="both"/>
      </w:pPr>
      <w:r>
        <w:rPr>
          <w:rFonts w:hint="eastAsia"/>
          <w:color w:val="262626"/>
        </w:rPr>
        <w:t>日常上架、倉庫整理期間，發現不符合標準的包裝貨品，必須全數取出重新折疊、規範包裝後方可上架。</w:t>
      </w:r>
    </w:p>
    <w:p w14:paraId="4C8D4F00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bookmarkStart w:id="23" w:name="_Toc240846193"/>
      <w:r>
        <w:rPr>
          <w:rFonts w:hint="eastAsia" w:ascii="Arial" w:hAnsi="Arial" w:eastAsia="黑体"/>
        </w:rPr>
        <w:t>6. B1倉文具物料管理規範</w:t>
      </w:r>
      <w:bookmarkEnd w:id="23"/>
    </w:p>
    <w:p w14:paraId="641C8951">
      <w:pPr>
        <w:jc w:val="both"/>
      </w:pPr>
      <w:r>
        <w:rPr>
          <w:b w:val="1"/>
          <w:color w:val="1F3864"/>
        </w:rPr>
        <w:t xml:space="preserve">1. </w:t>
      </w:r>
      <w:r>
        <w:rPr>
          <w:rFonts w:hint="eastAsia"/>
          <w:color w:val="262626"/>
        </w:rPr>
        <w:t>任何人員於B1倉文具物料區領取任何文具、耗材、道具，必須掃描QR Code進入「RMV-WHR查詢系統」登記。</w:t>
      </w:r>
    </w:p>
    <w:p w14:paraId="35CCCBDB">
      <w:pPr>
        <w:jc w:val="both"/>
      </w:pPr>
      <w:r>
        <w:rPr>
          <w:b w:val="1"/>
          <w:color w:val="1F3864"/>
        </w:rPr>
        <w:t xml:space="preserve">2. </w:t>
      </w:r>
      <w:r>
        <w:rPr>
          <w:rFonts w:hint="eastAsia"/>
          <w:color w:val="262626"/>
        </w:rPr>
        <w:t>於系統匹配對應物料名稱及編號，執行領取減數操作並保存記錄，確保系統帳目與實物數量完全一致。</w:t>
      </w:r>
    </w:p>
    <w:p w14:paraId="0CB56BD3">
      <w:pPr>
        <w:jc w:val="both"/>
      </w:pPr>
      <w:r>
        <w:rPr>
          <w:b w:val="1"/>
          <w:color w:val="1F3864"/>
        </w:rPr>
        <w:t xml:space="preserve">3. </w:t>
      </w:r>
      <w:r>
        <w:rPr>
          <w:rFonts w:hint="eastAsia"/>
          <w:color w:val="262626"/>
        </w:rPr>
        <w:t>系統分類嚴格對應：RMV文具、RMV物料、VM道具、日常用品，依物料屬性正確歸類登記，禁止隨意選項登記。</w:t>
      </w:r>
    </w:p>
    <w:p w14:paraId="3EE34116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  <w:ind/>
      </w:pPr>
      <w:bookmarkStart w:id="24" w:name="_Toc240846194"/>
      <w:r>
        <w:rPr>
          <w:rFonts w:hint="eastAsia" w:ascii="Arial" w:hAnsi="Arial" w:eastAsia="黑体"/>
        </w:rPr>
        <w:t>7. 單據、文書處理</w:t>
      </w:r>
      <w:bookmarkEnd w:id="24"/>
      <w:bookmarkStart w:id="25" w:name="_Toc240846195"/>
      <w:r>
        <w:rPr>
          <w:rFonts w:hint="eastAsia" w:ascii="Arial" w:hAnsi="Arial" w:eastAsia="黑体"/>
        </w:rPr>
        <w:t>步驟</w:t>
      </w:r>
    </w:p>
    <w:p w14:paraId="4F2640E2">
      <w:pPr>
        <w:pStyle w:val="000004"/>
        <w:spacing w:after="80"/>
      </w:pPr>
      <w:r>
        <w:rPr>
          <w:rFonts w:hint="eastAsia" w:ascii="Arial" w:hAnsi="Arial" w:eastAsia="黑体"/>
        </w:rPr>
        <w:t>7.1 Sales Memo 處理規範</w:t>
      </w:r>
      <w:bookmarkEnd w:id="25"/>
    </w:p>
    <w:p w14:paraId="0993F373">
      <w:pPr>
        <w:jc w:val="both"/>
      </w:pPr>
      <w:r>
        <w:rPr>
          <w:b w:val="1"/>
          <w:color w:val="1F3864"/>
        </w:rPr>
        <w:t xml:space="preserve">1. </w:t>
      </w:r>
      <w:r>
        <w:rPr>
          <w:rFonts w:hint="eastAsia"/>
          <w:color w:val="262626"/>
        </w:rPr>
        <w:t>每月1號整理上一個月所有Sales Memo，分裝入袋、整齊裝箱；每季度統一寄送一次至香港嘉里倉，無需寄送澳門辦公室。</w:t>
      </w:r>
    </w:p>
    <w:p w14:paraId="0BEF31FC">
      <w:pPr>
        <w:jc w:val="both"/>
      </w:pPr>
      <w:r>
        <w:rPr>
          <w:b w:val="1"/>
          <w:color w:val="1F3864"/>
        </w:rPr>
        <w:t xml:space="preserve">2. </w:t>
      </w:r>
      <w:r>
        <w:rPr>
          <w:rFonts w:hint="eastAsia"/>
          <w:color w:val="262626"/>
        </w:rPr>
        <w:t>標準寄送流程：</w:t>
      </w:r>
    </w:p>
    <w:p w14:paraId="725D54A7">
      <w:pPr>
        <w:jc w:val="both"/>
      </w:pPr>
      <w:r>
        <w:rPr>
          <w:b w:val="1"/>
          <w:color w:val="1F3864"/>
        </w:rPr>
        <w:t xml:space="preserve">① </w:t>
      </w:r>
      <w:r>
        <w:rPr>
          <w:rFonts w:hint="eastAsia"/>
          <w:color w:val="262626"/>
        </w:rPr>
        <w:t>將Sales Memo平整裝袋，數量較多可分袋包裝；封面標註對應年月，紙箱四周貼膠紙封邊，防止運輸破損。</w:t>
      </w:r>
    </w:p>
    <w:p w14:paraId="01858F25">
      <w:pPr>
        <w:jc w:val="both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b w:val="1"/>
          <w:color w:val="1F3864"/>
          <w:sz w:val="24"/>
        </w:rPr>
        <w:t xml:space="preserve">② </w:t>
      </w:r>
      <w:r>
        <w:rPr>
          <w:rFonts w:hint="eastAsia" w:ascii="宋体" w:hAnsi="宋体" w:eastAsia="宋体" w:cs="宋体"/>
          <w:color w:val="262626"/>
          <w:sz w:val="24"/>
        </w:rPr>
        <w:t>專用箱規格：A+/A門店使用XL箱（45cm×40cm×30cm）；B門店使用L箱（40cm×30cm×15cm）。嘉里倉會預先配發10個空箱，亦可使用完好無損的舊箱重覆使用。</w:t>
      </w:r>
    </w:p>
    <w:p w14:paraId="5623ED76">
      <w:pPr>
        <w:pBdr/>
        <w:ind/>
        <w:jc w:val="both"/>
        <w:rPr>
          <w:rFonts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</w:pPr>
      <w:r>
        <w:rPr>
          <w:rFonts w:ascii="宋体" w:hAnsi="宋体" w:eastAsia="宋体" w:cs="宋体"/>
          <w:b w:val="1"/>
          <w:color w:val="1F3864"/>
          <w:sz w:val="24"/>
        </w:rPr>
        <w:t xml:space="preserve">③ </w:t>
      </w:r>
      <w:r>
        <w:rPr>
          <w:rFonts w:hint="eastAsia"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  <w:t>有關門店電郵向財務部取得Sales Memo 寄倉號碼安排，</w:t>
      </w:r>
      <w:r>
        <w:rPr>
          <w:rFonts w:hint="eastAsia" w:ascii="宋体" w:hAnsi="宋体" w:eastAsia="宋体" w:cs="宋体"/>
          <w:b w:val="1"/>
          <w:i w:val="0"/>
          <w:strike w:val="0"/>
          <w:color w:val="212121"/>
          <w:spacing w:val="0"/>
          <w:sz w:val="24"/>
          <w:u w:val="none"/>
          <w:shd w:val="clear" w:color="auto" w:fill="FFFFFF"/>
        </w:rPr>
        <w:t>由即日起改用自行領取寄倉號碼形式</w:t>
      </w:r>
      <w:r>
        <w:rPr>
          <w:rFonts w:hint="eastAsia"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  <w:t>， 如早前已電郵財務部但未收到回覆之門店, 請自行到以下鏈結領用Sales Memo寄倉號碼。</w:t>
      </w:r>
    </w:p>
    <w:p w14:paraId="0802F21B">
      <w:pPr>
        <w:snapToGrid w:val="1"/>
        <w:spacing w:before="0" w:after="0" w:line="240"/>
        <w:ind w:left="0" w:right="0" w:hanging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 w:val="1"/>
          <w:i w:val="0"/>
          <w:strike w:val="0"/>
          <w:color w:val="212121"/>
          <w:spacing w:val="0"/>
          <w:sz w:val="24"/>
          <w:u w:val="single"/>
          <w:shd w:val="clear" w:color="auto" w:fill="FFFFFF"/>
        </w:rPr>
        <w:t>領取寄倉號碼連結:</w:t>
      </w:r>
    </w:p>
    <w:p w14:paraId="6AF0685D">
      <w:pPr>
        <w:snapToGrid w:val="1"/>
        <w:spacing w:before="0" w:after="0" w:line="240"/>
        <w:ind w:left="0" w:right="0" w:hanging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i w:val="0"/>
          <w:strike w:val="0"/>
          <w:color w:val="000000"/>
          <w:spacing w:val="0"/>
          <w:sz w:val="24"/>
          <w:u w:val="none"/>
          <w:shd w:val="clear" w:color="auto" w:fill="00FFFF"/>
        </w:rPr>
        <w:t>S:\All Brand\Finance\Sales Memo 寄倉號碼</w:t>
      </w:r>
    </w:p>
    <w:p w14:paraId="2E5EA140">
      <w:pPr>
        <w:snapToGrid w:val="1"/>
        <w:spacing w:before="0" w:after="0" w:line="240"/>
        <w:ind w:left="0" w:right="0" w:hanging="0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  <w:t xml:space="preserve"> </w:t>
      </w:r>
    </w:p>
    <w:p w14:paraId="58AE8DDE">
      <w:pPr>
        <w:snapToGrid w:val="1"/>
        <w:spacing w:before="0" w:after="0" w:line="240"/>
        <w:ind w:left="0" w:right="0" w:hanging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 w:val="1"/>
          <w:i w:val="0"/>
          <w:strike w:val="0"/>
          <w:color w:val="212121"/>
          <w:spacing w:val="0"/>
          <w:sz w:val="24"/>
          <w:u w:val="single"/>
          <w:shd w:val="clear" w:color="auto" w:fill="FFFFFF"/>
        </w:rPr>
        <w:t>填寫示範:</w:t>
      </w:r>
    </w:p>
    <w:p w14:paraId="45027490">
      <w:pPr>
        <w:snapToGrid w:val="1"/>
        <w:spacing w:before="0" w:after="0" w:line="240"/>
        <w:ind w:left="480" w:right="0" w:hanging="48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  <w:t>門店只需煩寫「內容」及「交予馬士基日期」空格即可</w:t>
      </w:r>
    </w:p>
    <w:p w14:paraId="301E09D0">
      <w:pPr>
        <w:snapToGrid w:val="1"/>
        <w:spacing w:before="0" w:after="0" w:line="240"/>
        <w:ind w:left="480" w:right="0" w:hanging="48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  <w:t>檔案存取權限已開放到各門店, 如門店遇到存取權限問題請聯絡IT Fung 協助開通</w:t>
      </w:r>
    </w:p>
    <w:p w14:paraId="73B055CD">
      <w:pPr>
        <w:snapToGrid w:val="1"/>
        <w:spacing w:before="0" w:after="0" w:line="240"/>
        <w:ind w:left="0" w:right="0" w:hanging="0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  <w:t xml:space="preserve"> </w:t>
      </w:r>
    </w:p>
    <w:p w14:paraId="373FA5CA">
      <w:pPr>
        <w:ind/>
        <w:jc w:val="both"/>
        <w:rPr>
          <w:rFonts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</w:pPr>
      <w:r>
        <w:rPr>
          <w:rFonts w:ascii="宋体" w:hAnsi="宋体" w:eastAsia="宋体" w:cs="宋体"/>
          <w:i w:val="0"/>
          <w:strike w:val="0"/>
          <w:color w:val="212121"/>
          <w:spacing w:val="0"/>
          <w:sz w:val="24"/>
          <w:u w:val="none"/>
          <w:shd w:val="clear" w:color="auto" w:fill="FFFFFF"/>
        </w:rPr>
        <w:drawing>
          <wp:inline distT="0" distB="0" distL="0" distR="0">
            <wp:extent cx="5760720" cy="607446"/>
            <wp:effectExtent l="0" t="0" r="0" b="0"/>
            <wp:docPr id="2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27" name="picture" descr="descript"/>
                    <pic:cNvPicPr/>
                  </pic:nvPicPr>
                  <pic:blipFill rotWithShape="1">
                    <a:blip r:embed="rId17"/>
                    <a:stretch/>
                  </pic:blipFill>
                  <pic:spPr>
                    <a:xfrm>
                      <a:off x="0" y="0"/>
                      <a:ext cx="5760720" cy="607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3CCBC">
      <w:pPr>
        <w:jc w:val="both"/>
      </w:pPr>
      <w:r>
        <w:rPr>
          <w:rFonts w:ascii="宋体" w:hAnsi="宋体" w:eastAsia="宋体" w:cs="宋体"/>
          <w:b w:val="1"/>
          <w:color w:val="1F3864"/>
          <w:sz w:val="24"/>
        </w:rPr>
        <w:t xml:space="preserve">④ </w:t>
      </w:r>
      <w:r>
        <w:rPr>
          <w:rFonts w:hint="eastAsia" w:ascii="宋体" w:hAnsi="宋体" w:eastAsia="宋体" w:cs="宋体"/>
          <w:color w:val="262626"/>
          <w:sz w:val="24"/>
        </w:rPr>
        <w:t>員工需將編號手寫/列印於紙箱Sales Memo專用貼紙，張貼於箱體正面上方醒目位置。</w:t>
      </w:r>
      <w:r>
        <w:rPr>
          <w:color w:val="262626"/>
        </w:rPr>
        <w:drawing>
          <wp:inline distT="0" distB="0" distL="0" distR="0">
            <wp:extent cx="5703570" cy="2191588"/>
            <wp:effectExtent l="0" t="0" r="0" b="0"/>
            <wp:docPr id="2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0" name="picture" descr="descript"/>
                    <pic:cNvPicPr/>
                  </pic:nvPicPr>
                  <pic:blipFill rotWithShape="1">
                    <a:blip r:embed="rId18"/>
                    <a:stretch/>
                  </pic:blipFill>
                  <pic:spPr>
                    <a:xfrm flipH="0" flipV="0">
                      <a:off x="0" y="0"/>
                      <a:ext cx="5703570" cy="219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2110D">
      <w:pPr>
        <w:pBdr>
          <w:left w:val="single" w:color="E10600" w:sz="24" w:space="4"/>
          <w:bottom w:val="single" w:color="D9D9D9" w:sz="4" w:space="4"/>
          <w:right w:val="single" w:color="D9D9D9" w:sz="4" w:space="4"/>
        </w:pBdr>
        <w:shd w:val="clear" w:color="auto" w:fill="F2F2F2"/>
        <w:spacing w:before="120" w:after="120" w:line="336" w:lineRule="auto"/>
        <w:ind/>
        <w:jc w:val="both"/>
      </w:pPr>
      <w:r>
        <w:rPr>
          <w:rFonts w:hint="eastAsia" w:eastAsia="黑体"/>
          <w:b w:val="1"/>
          <w:color w:val="1F3864"/>
        </w:rPr>
        <w:t>重點提醒：</w:t>
      </w:r>
      <w:r>
        <w:rPr>
          <w:rFonts w:hint="eastAsia"/>
          <w:color w:val="262626"/>
        </w:rPr>
        <w:t>箱貼收件人嚴禁填寫「TO:OFFICE」，否則貨件將誤送辦公室，影響入倉流程。</w:t>
      </w:r>
      <w:r>
        <w:rPr>
          <w:color w:val="262626"/>
        </w:rPr>
        <w:drawing>
          <wp:inline distT="0" distB="0" distL="0" distR="0">
            <wp:extent cx="1857375" cy="1238250"/>
            <wp:effectExtent l="0" t="0" r="0" b="0"/>
            <wp:docPr id="3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3" name="picture" descr="descript"/>
                    <pic:cNvPicPr/>
                  </pic:nvPicPr>
                  <pic:blipFill rotWithShape="1">
                    <a:blip r:embed="rId19"/>
                    <a:stretch/>
                  </pic:blipFill>
                  <pic:spPr>
                    <a:xfrm flipH="0" flipV="0">
                      <a:off x="0" y="0"/>
                      <a:ext cx="1857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507DF">
      <w:pPr>
        <w:jc w:val="both"/>
      </w:pPr>
      <w:r>
        <w:rPr>
          <w:b w:val="1"/>
          <w:color w:val="1F3864"/>
        </w:rPr>
        <w:t xml:space="preserve">3. </w:t>
      </w:r>
      <w:r>
        <w:rPr>
          <w:rFonts w:hint="eastAsia"/>
          <w:color w:val="262626"/>
        </w:rPr>
        <w:t>空箱申請：如需訂購全新空箱，發送郵件至 Logistic@fila.com.hk，備註箱體尺寸及用途（Sales Memo專用），每次申請10個為一標準批次。</w:t>
      </w:r>
    </w:p>
    <w:p w14:paraId="4FABE248">
      <w:pPr>
        <w:pStyle w:val="000004"/>
        <w:spacing w:after="80"/>
      </w:pPr>
      <w:bookmarkStart w:id="26" w:name="_Toc240846196"/>
      <w:r>
        <w:rPr>
          <w:rFonts w:hint="eastAsia" w:ascii="Arial" w:hAnsi="Arial" w:eastAsia="黑体"/>
        </w:rPr>
        <w:t>7.2 後殘壞貨處理流程</w:t>
      </w:r>
      <w:bookmarkEnd w:id="26"/>
    </w:p>
    <w:p w14:paraId="777040E8">
      <w:pPr>
        <w:pBdr/>
        <w:ind w:firstLine="480"/>
        <w:jc w:val="both"/>
        <w:rPr>
          <w:color w:val="262626"/>
        </w:rPr>
      </w:pPr>
      <w:r>
        <w:rPr>
          <w:rFonts w:hint="eastAsia"/>
          <w:color w:val="262626"/>
        </w:rPr>
        <w:t>定義：後殘貨特指貨品因門店陳列、顧客試穿、售後退回產生破損、污漬、瑕疵等品質問題，無法正常對外銷售的商品。</w:t>
      </w:r>
    </w:p>
    <w:p w14:paraId="0E66894D">
      <w:pPr>
        <w:numPr>
          <w:ilvl w:val="0"/>
          <w:numId w:val="2"/>
        </w:numPr>
        <w:pBdr>
          <w:bottom/>
        </w:pBdr>
        <w:snapToGrid w:val="1"/>
        <w:spacing w:before="100" w:after="200" w:line="276"/>
        <w:ind/>
        <w:jc w:val="both"/>
        <w:rPr>
          <w:sz w:val="24"/>
        </w:rPr>
      </w:pPr>
      <w:r>
        <w:rPr>
          <w:rFonts w:hint="eastAsia" w:ascii="微軟正黑體" w:hAnsi="微軟正黑體" w:eastAsia="微軟正黑體" w:cs="微軟正黑體"/>
          <w:i w:val="0"/>
          <w:strike w:val="0"/>
          <w:color w:val="000000"/>
          <w:sz w:val="24"/>
          <w:u w:val="none"/>
        </w:rPr>
        <w:t>每個月</w:t>
      </w:r>
      <w:r>
        <w:rPr>
          <w:rFonts w:ascii="Tw Cen MT" w:hAnsi="Tw Cen MT" w:eastAsia="Tw Cen MT" w:cs="Tw Cen MT"/>
          <w:i w:val="0"/>
          <w:strike w:val="0"/>
          <w:color w:val="000000"/>
          <w:sz w:val="24"/>
          <w:u w:val="none"/>
        </w:rPr>
        <w:t>15</w:t>
      </w:r>
      <w:r>
        <w:rPr>
          <w:rFonts w:hint="eastAsia" w:ascii="SimSun" w:hAnsi="SimSun" w:eastAsia="SimSun" w:cs="SimSun"/>
          <w:i w:val="0"/>
          <w:strike w:val="0"/>
          <w:color w:val="000000"/>
          <w:sz w:val="24"/>
          <w:u w:val="none"/>
        </w:rPr>
        <w:t>號當天需要把后殘壞貨開到</w:t>
      </w:r>
      <w:r>
        <w:rPr>
          <w:rFonts w:hint="eastAsia" w:ascii="SimSun" w:hAnsi="SimSun" w:eastAsia="SimSun" w:cs="SimSun"/>
          <w:i w:val="0"/>
          <w:strike w:val="0"/>
          <w:color w:val="000000"/>
          <w:sz w:val="24"/>
          <w:u w:val="none"/>
        </w:rPr>
        <w:t>指定倉庫.</w:t>
      </w:r>
    </w:p>
    <w:p w14:paraId="097E7225">
      <w:pPr>
        <w:pBdr>
          <w:top w:val="single" w:color="D9D9D9" w:sz="4" w:space="4"/>
          <w:left w:val="single" w:color="E10600" w:sz="24" w:space="4"/>
          <w:bottom w:val="single" w:color="D9D9D9" w:sz="4" w:space="4"/>
          <w:right w:val="single" w:color="D9D9D9" w:sz="4" w:space="4"/>
        </w:pBdr>
        <w:shd w:val="clear" w:color="auto" w:fill="F2F2F2"/>
        <w:spacing w:before="120" w:after="120" w:line="336" w:lineRule="auto"/>
        <w:jc w:val="both"/>
      </w:pPr>
      <w:r>
        <w:rPr>
          <w:rFonts w:hint="eastAsia" w:eastAsia="黑体"/>
          <w:b w:val="1"/>
          <w:color w:val="1F3864"/>
        </w:rPr>
        <w:t>備註：</w:t>
      </w:r>
      <w:r>
        <w:rPr>
          <w:rFonts w:hint="eastAsia"/>
          <w:color w:val="262626"/>
        </w:rPr>
        <w:t>可通過簡單清洗、縫補修復並正常銷售的貨品，不得申報為後殘壞貨。</w:t>
      </w:r>
    </w:p>
    <w:p w14:paraId="46D5C264">
      <w:pPr>
        <w:pStyle w:val="000002"/>
        <w:pBdr>
          <w:left w:val="nil"/>
          <w:right w:val="nil"/>
        </w:pBdr>
        <w:spacing w:before="360" w:after="200"/>
        <w:ind/>
        <w:rPr>
          <w:rFonts w:ascii="Arial" w:hAnsi="Arial" w:eastAsia="黑体"/>
        </w:rPr>
      </w:pPr>
      <w:bookmarkStart w:id="27" w:name="_Toc240846197"/>
      <w:r>
        <w:rPr>
          <w:rFonts w:ascii="Arial" w:hAnsi="Arial" w:eastAsia="黑体"/>
        </w:rPr>
        <w:fldChar w:fldCharType="begin"/>
      </w:r>
      <w:r>
        <w:rPr>
          <w:rFonts w:hint="eastAsia" w:ascii="Arial" w:hAnsi="Arial" w:eastAsia="黑体"/>
        </w:rPr>
        <w:instrText>ATTACHMENT 0e1a164176e94b1f81361408591de544 \f 退殘(壞貨)標籤表格.pdf \s 250808 \t pdf \l card \i a9sgi81790050244189 \c doc \tdkey oxzrlt</w:instrText>
      </w:r>
      <w:r>
        <w:rPr>
          <w:rFonts w:ascii="Arial" w:hAnsi="Arial" w:eastAsia="黑体"/>
        </w:rPr>
        <w:fldChar w:fldCharType="separate"/>
      </w:r>
      <w:r>
        <w:rPr>
          <w:rFonts w:hint="eastAsia" w:ascii="Arial" w:hAnsi="Arial" w:eastAsia="黑体"/>
        </w:rPr>
        <w:t>退殘(壞貨)標籤表格.pdf</w:t>
      </w:r>
      <w:r>
        <w:rPr>
          <w:rFonts w:ascii="Arial" w:hAnsi="Arial" w:eastAsia="黑体"/>
        </w:rPr>
        <w:fldChar w:fldCharType="end"/>
      </w:r>
      <w:r>
        <w:rPr>
          <w:rFonts w:ascii="Arial" w:hAnsi="Arial" w:eastAsia="黑体"/>
        </w:rPr>
        <w:drawing>
          <wp:inline distT="0" distB="0" distL="0" distR="0">
            <wp:extent cx="5760720" cy="4451465"/>
            <wp:effectExtent l="0" t="0" r="0" b="0"/>
            <wp:docPr id="3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6" name="picture" descr="descript"/>
                    <pic:cNvPicPr/>
                  </pic:nvPicPr>
                  <pic:blipFill rotWithShape="1">
                    <a:blip r:embed="rId20"/>
                    <a:stretch/>
                  </pic:blipFill>
                  <pic:spPr>
                    <a:xfrm>
                      <a:off x="0" y="0"/>
                      <a:ext cx="5760720" cy="445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91569">
      <w:pPr>
        <w:pStyle w:val="000001"/>
        <w:pBdr>
          <w:left w:val="nil"/>
          <w:right w:val="nil"/>
        </w:pBdr>
        <w:spacing w:before="360" w:after="200"/>
        <w:ind/>
      </w:pPr>
      <w:r>
        <w:rPr/>
        <w:drawing>
          <wp:inline distT="0" distB="0" distL="0" distR="0">
            <wp:extent cx="5760720" cy="3317990"/>
            <wp:effectExtent l="0" t="0" r="0" b="0"/>
            <wp:docPr id="3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9" name="picture" descr="descript"/>
                    <pic:cNvPicPr/>
                  </pic:nvPicPr>
                  <pic:blipFill rotWithShape="1">
                    <a:blip r:embed="rId21"/>
                    <a:stretch/>
                  </pic:blipFill>
                  <pic:spPr>
                    <a:xfrm flipH="0" flipV="0">
                      <a:off x="0" y="0"/>
                      <a:ext cx="5760720" cy="331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D9834">
      <w:pPr>
        <w:pStyle w:val="000001"/>
        <w:pBdr>
          <w:left w:val="nil"/>
          <w:bottom/>
          <w:right w:val="nil"/>
        </w:pBdr>
        <w:spacing w:before="360" w:after="200"/>
        <w:ind/>
      </w:pPr>
      <w:r>
        <w:rPr/>
        <w:drawing>
          <wp:inline distT="0" distB="0" distL="0" distR="0">
            <wp:extent cx="5760720" cy="3899015"/>
            <wp:effectExtent l="0" t="0" r="0" b="0"/>
            <wp:docPr id="4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42" name="picture" descr="descript"/>
                    <pic:cNvPicPr/>
                  </pic:nvPicPr>
                  <pic:blipFill rotWithShape="1">
                    <a:blip r:embed="rId22"/>
                    <a:stretch/>
                  </pic:blipFill>
                  <pic:spPr>
                    <a:xfrm flipH="0" flipV="0">
                      <a:off x="0" y="0"/>
                      <a:ext cx="5760720" cy="389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276725" cy="4200525"/>
            <wp:effectExtent l="0" t="0" r="0" b="0"/>
            <wp:docPr id="4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45" name="picture" descr="descript"/>
                    <pic:cNvPicPr/>
                  </pic:nvPicPr>
                  <pic:blipFill rotWithShape="1">
                    <a:blip r:embed="rId23"/>
                    <a:srcRect/>
                    <a:stretch/>
                  </pic:blipFill>
                  <pic:spPr>
                    <a:xfrm flipH="0" flipV="0">
                      <a:off x="0" y="0"/>
                      <a:ext cx="4276725" cy="420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AE1A8A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r>
        <w:rPr>
          <w:rFonts w:hint="eastAsia" w:ascii="Arial" w:hAnsi="Arial" w:eastAsia="黑体"/>
        </w:rPr>
        <w:t>8. 新零售RFID手持機作業規範</w:t>
      </w:r>
      <w:bookmarkEnd w:id="27"/>
    </w:p>
    <w:p w14:paraId="603CC260">
      <w:pPr>
        <w:jc w:val="both"/>
      </w:pPr>
      <w:r>
        <w:rPr>
          <w:rFonts w:hint="eastAsia"/>
          <w:color w:val="262626"/>
        </w:rPr>
        <w:t>基礎模式說明：</w:t>
      </w:r>
    </w:p>
    <w:p w14:paraId="15F9B717">
      <w:pPr>
        <w:pStyle w:val="00002b"/>
        <w:jc w:val="both"/>
      </w:pPr>
      <w:r>
        <w:rPr>
          <w:rFonts w:hint="eastAsia"/>
          <w:color w:val="262626"/>
        </w:rPr>
        <w:t>按箱收貨：採用箱EPC白名單校驗，系統自動感應識別，作業效率更高，為優先推薦模式。</w:t>
      </w:r>
    </w:p>
    <w:p w14:paraId="27F1BB82">
      <w:pPr>
        <w:pStyle w:val="00002b"/>
        <w:jc w:val="both"/>
      </w:pPr>
      <w:r>
        <w:rPr>
          <w:rFonts w:hint="eastAsia"/>
          <w:color w:val="262626"/>
        </w:rPr>
        <w:t>按單收貨：採用SKU白名單校驗，人手逐件掃描核對，適用異常貨品驗收。</w:t>
      </w:r>
    </w:p>
    <w:p w14:paraId="7FB32F02">
      <w:pPr>
        <w:pStyle w:val="000004"/>
        <w:spacing w:after="80"/>
      </w:pPr>
      <w:bookmarkStart w:id="28" w:name="_Toc240846198"/>
      <w:r>
        <w:rPr>
          <w:rFonts w:hint="eastAsia" w:ascii="Arial" w:hAnsi="Arial" w:eastAsia="黑体"/>
        </w:rPr>
        <w:t>8.1 門店收貨操作</w:t>
      </w:r>
      <w:bookmarkEnd w:id="28"/>
    </w:p>
    <w:p w14:paraId="6D6748EB">
      <w:pPr>
        <w:pStyle w:val="000006"/>
        <w:spacing w:before="160" w:after="60"/>
        <w:ind/>
        <w:rPr>
          <w:sz w:val="24"/>
        </w:rPr>
      </w:pPr>
      <w:r>
        <w:rPr>
          <w:rFonts w:hint="eastAsia" w:ascii="Arial" w:hAnsi="Arial" w:eastAsia="黑体"/>
        </w:rPr>
        <w:t>8.1.1 按箱收貨（EPC白名單校驗）</w:t>
      </w:r>
      <w:r>
        <w:rPr>
          <w:rFonts w:hint="eastAsia" w:ascii="Arial" w:hAnsi="Arial" w:eastAsia="黑体"/>
        </w:rPr>
        <w:t>案例</w:t>
      </w:r>
      <w:r>
        <w:rPr>
          <w:rFonts w:hint="eastAsia" w:ascii="Arial" w:hAnsi="Arial" w:eastAsia="黑体"/>
          <w:sz w:val="24"/>
        </w:rPr>
        <w:t>單據：</w:t>
      </w:r>
      <w:r>
        <w:rPr>
          <w:rFonts w:ascii="微軟正黑體" w:hAnsi="微軟正黑體" w:eastAsia="微軟正黑體" w:cs="微軟正黑體"/>
          <w:i w:val="0"/>
          <w:strike w:val="0"/>
          <w:color w:val="000000"/>
          <w:sz w:val="24"/>
          <w:u w:val="none"/>
          <w:shd w:val="clear" w:color="auto" w:fill="FFFFFF"/>
        </w:rPr>
        <w:t>AHKAL24030097</w:t>
      </w:r>
    </w:p>
    <w:p w14:paraId="17F47E9D">
      <w:pPr>
        <w:numPr>
          <w:ilvl w:val="0"/>
          <w:numId w:val="3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手持機主頁點擊【門店收貨】，於待收貨列表選取對應收貨單據。</w:t>
      </w:r>
    </w:p>
    <w:p w14:paraId="053A5006">
      <w:pPr>
        <w:ind w:left="336"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1914525" cy="2447925"/>
            <wp:effectExtent l="0" t="0" r="0" b="0"/>
            <wp:docPr id="47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48" name="picture" descr="descript"/>
                    <pic:cNvPicPr/>
                  </pic:nvPicPr>
                  <pic:blipFill rotWithShape="1">
                    <a:blip r:embed="rId24"/>
                    <a:stretch/>
                  </pic:blipFill>
                  <pic:spPr>
                    <a:xfrm flipH="0" flipV="0">
                      <a:off x="0" y="0"/>
                      <a:ext cx="19145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5B15F">
      <w:pPr>
        <w:numPr>
          <w:ilvl w:val="0"/>
          <w:numId w:val="3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進入貨箱列表，選取待收貨箱，切換至【按箱收貨】頁籤。</w:t>
      </w:r>
    </w:p>
    <w:p w14:paraId="5CF062CD">
      <w:pPr>
        <w:pBdr/>
        <w:ind w:left="336"/>
        <w:jc w:val="both"/>
        <w:rPr>
          <w:color w:val="262626"/>
        </w:rPr>
      </w:pPr>
      <w:r>
        <w:rPr/>
        <w:drawing>
          <wp:inline distT="0" distB="0" distL="0" distR="0">
            <wp:extent cx="1828800" cy="2447925"/>
            <wp:effectExtent l="0" t="0" r="0" b="0"/>
            <wp:docPr id="5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1" name="picture" descr="descript"/>
                    <pic:cNvPicPr/>
                  </pic:nvPicPr>
                  <pic:blipFill rotWithShape="1">
                    <a:blip r:embed="rId25"/>
                    <a:srcRect/>
                    <a:stretch/>
                  </pic:blipFill>
                  <pic:spPr>
                    <a:xfrm flipH="0" flipV="0">
                      <a:off x="0" y="0"/>
                      <a:ext cx="1828800" cy="2447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752600" cy="2457450"/>
            <wp:effectExtent l="0" t="0" r="0" b="0"/>
            <wp:docPr id="5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4" name="picture" descr="descript"/>
                    <pic:cNvPicPr/>
                  </pic:nvPicPr>
                  <pic:blipFill rotWithShape="1">
                    <a:blip r:embed="rId26"/>
                    <a:srcRect/>
                    <a:stretch/>
                  </pic:blipFill>
                  <pic:spPr>
                    <a:xfrm flipH="0" flipV="0">
                      <a:off x="0" y="0"/>
                      <a:ext cx="1752600" cy="2457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B942DD">
      <w:pPr>
        <w:pBdr/>
        <w:ind w:left="336"/>
        <w:jc w:val="both"/>
        <w:rPr>
          <w:color w:val="262626"/>
        </w:rPr>
      </w:pPr>
    </w:p>
    <w:p w14:paraId="291CAED4">
      <w:pPr>
        <w:ind w:left="336"/>
        <w:jc w:val="both"/>
        <w:rPr>
          <w:color w:val="262626"/>
        </w:rPr>
      </w:pPr>
    </w:p>
    <w:p w14:paraId="2B66C360">
      <w:pPr>
        <w:numPr>
          <w:ilvl w:val="0"/>
          <w:numId w:val="3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啟動RFID掃描功能，待系統讀取完成後點擊【提交】。</w:t>
      </w:r>
    </w:p>
    <w:p w14:paraId="4C6BBAC7">
      <w:pPr>
        <w:ind w:left="336"/>
        <w:jc w:val="both"/>
        <w:rPr>
          <w:color w:val="262626"/>
        </w:rPr>
      </w:pPr>
      <w:r>
        <w:rPr/>
        <w:drawing>
          <wp:inline distT="0" distB="0" distL="0" distR="0">
            <wp:extent cx="2228850" cy="2581275"/>
            <wp:effectExtent l="0" t="0" r="0" b="0"/>
            <wp:docPr id="5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7" name="picture" descr="descript"/>
                    <pic:cNvPicPr/>
                  </pic:nvPicPr>
                  <pic:blipFill rotWithShape="1">
                    <a:blip r:embed="rId27"/>
                    <a:srcRect/>
                    <a:stretch/>
                  </pic:blipFill>
                  <pic:spPr>
                    <a:xfrm flipH="0" flipV="0">
                      <a:off x="0" y="0"/>
                      <a:ext cx="2228850" cy="2581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5B356E">
      <w:pPr>
        <w:numPr>
          <w:ilvl w:val="0"/>
          <w:numId w:val="3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貨箱狀態更新為【已收貨】，返回收貨單列表，點擊【提交審核】。</w:t>
      </w:r>
    </w:p>
    <w:p w14:paraId="5BE9543C">
      <w:pPr>
        <w:ind w:left="336"/>
        <w:jc w:val="both"/>
        <w:rPr>
          <w:color w:val="262626"/>
        </w:rPr>
      </w:pPr>
      <w:r>
        <w:rPr/>
        <w:drawing>
          <wp:inline distT="0" distB="0" distL="0" distR="0">
            <wp:extent cx="2114550" cy="2552700"/>
            <wp:effectExtent l="0" t="0" r="0" b="0"/>
            <wp:docPr id="5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0" name="picture" descr="descript"/>
                    <pic:cNvPicPr/>
                  </pic:nvPicPr>
                  <pic:blipFill rotWithShape="1">
                    <a:blip r:embed="rId28"/>
                    <a:srcRect/>
                    <a:stretch/>
                  </pic:blipFill>
                  <pic:spPr>
                    <a:xfrm flipH="0" flipV="0">
                      <a:off x="0" y="0"/>
                      <a:ext cx="2114550" cy="255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7016BF">
      <w:pPr>
        <w:numPr>
          <w:ilvl w:val="0"/>
          <w:numId w:val="3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系統彈窗提示審核後不可修改，確認提交後，單據狀態更新為【已審核】。</w:t>
      </w:r>
    </w:p>
    <w:p w14:paraId="6CBF3CCE">
      <w:pPr>
        <w:pBdr/>
        <w:ind w:left="0"/>
        <w:jc w:val="both"/>
        <w:rPr>
          <w:color w:val="262626"/>
        </w:rPr>
      </w:pPr>
    </w:p>
    <w:p w14:paraId="0AE7A0DC">
      <w:pPr>
        <w:pBdr/>
        <w:ind w:left="0"/>
        <w:jc w:val="both"/>
        <w:rPr>
          <w:color w:val="262626"/>
        </w:rPr>
      </w:pPr>
    </w:p>
    <w:p w14:paraId="282F8CCD">
      <w:pPr>
        <w:pBdr/>
        <w:ind w:left="0"/>
        <w:jc w:val="both"/>
        <w:rPr>
          <w:color w:val="262626"/>
        </w:rPr>
      </w:pPr>
    </w:p>
    <w:p w14:paraId="4657F8F1">
      <w:pPr>
        <w:pBdr/>
        <w:ind w:left="0"/>
        <w:jc w:val="both"/>
        <w:rPr>
          <w:color w:val="262626"/>
        </w:rPr>
      </w:pPr>
    </w:p>
    <w:p w14:paraId="679FDEF0">
      <w:pPr>
        <w:pBdr/>
        <w:ind w:left="0"/>
        <w:jc w:val="both"/>
        <w:rPr>
          <w:color w:val="262626"/>
        </w:rPr>
      </w:pPr>
    </w:p>
    <w:p w14:paraId="05C736D2">
      <w:pPr>
        <w:pBdr/>
        <w:ind w:left="0"/>
        <w:jc w:val="both"/>
        <w:rPr>
          <w:color w:val="262626"/>
        </w:rPr>
      </w:pPr>
    </w:p>
    <w:p w14:paraId="23102ED3">
      <w:pPr>
        <w:pBdr/>
        <w:ind w:left="0"/>
        <w:jc w:val="both"/>
        <w:rPr>
          <w:color w:val="262626"/>
        </w:rPr>
      </w:pPr>
    </w:p>
    <w:p w14:paraId="412746BB">
      <w:pPr>
        <w:pBdr/>
        <w:ind w:left="0"/>
        <w:jc w:val="both"/>
        <w:rPr>
          <w:color w:val="262626"/>
        </w:rPr>
      </w:pPr>
    </w:p>
    <w:p w14:paraId="7F7E612A">
      <w:pPr>
        <w:pBdr/>
        <w:ind w:left="0"/>
        <w:jc w:val="both"/>
        <w:rPr>
          <w:color w:val="262626"/>
        </w:rPr>
      </w:pPr>
    </w:p>
    <w:p w14:paraId="1CB48458">
      <w:pPr>
        <w:pBdr/>
        <w:ind w:left="0"/>
        <w:jc w:val="both"/>
        <w:rPr>
          <w:color w:val="262626"/>
        </w:rPr>
      </w:pPr>
    </w:p>
    <w:p w14:paraId="215169E0">
      <w:pPr>
        <w:ind w:left="0"/>
        <w:jc w:val="both"/>
        <w:rPr>
          <w:color w:val="262626"/>
        </w:rPr>
      </w:pPr>
    </w:p>
    <w:p w14:paraId="4B577550">
      <w:pPr>
        <w:pStyle w:val="000006"/>
        <w:numPr/>
        <w:pBdr>
          <w:bottom/>
        </w:pBdr>
        <w:spacing w:before="160" w:after="60"/>
        <w:ind/>
        <w:rPr>
          <w:sz w:val="24"/>
        </w:rPr>
      </w:pPr>
      <w:r>
        <w:rPr>
          <w:rFonts w:hint="eastAsia" w:ascii="Arial" w:hAnsi="Arial" w:eastAsia="黑体"/>
        </w:rPr>
        <w:t>8.1.2 按單收貨（E模式 SKU白名單校驗）</w:t>
      </w:r>
      <w:r>
        <w:rPr>
          <w:rFonts w:hint="eastAsia" w:ascii="Arial" w:hAnsi="Arial" w:eastAsia="黑体"/>
        </w:rPr>
        <w:t>案例</w:t>
      </w:r>
      <w:r>
        <w:rPr>
          <w:rFonts w:hint="eastAsia" w:ascii="Arial" w:hAnsi="Arial" w:eastAsia="黑体"/>
          <w:sz w:val="24"/>
        </w:rPr>
        <w:t>單據：</w:t>
      </w:r>
      <w:r>
        <w:rPr>
          <w:rFonts w:ascii="微軟正黑體" w:hAnsi="微軟正黑體" w:eastAsia="微軟正黑體" w:cs="微軟正黑體"/>
          <w:i w:val="0"/>
          <w:strike w:val="0"/>
          <w:color w:val="000000"/>
          <w:sz w:val="24"/>
          <w:u w:val="none"/>
          <w:shd w:val="clear" w:color="auto" w:fill="FFFFFF"/>
        </w:rPr>
        <w:t>AHKAL24030097</w:t>
      </w:r>
    </w:p>
    <w:p w14:paraId="2B2F3C2B">
      <w:pPr>
        <w:numPr>
          <w:ilvl w:val="0"/>
          <w:numId w:val="4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主頁點擊【門店收貨】，選取待收貨單據，進入貨箱列表後切換【按單收貨】頁籤。</w:t>
      </w:r>
    </w:p>
    <w:p w14:paraId="753C6E14">
      <w:pPr>
        <w:ind w:left="336"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2009775" cy="2133600"/>
            <wp:effectExtent l="0" t="0" r="0" b="0"/>
            <wp:docPr id="6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3" name="picture" descr="descript"/>
                    <pic:cNvPicPr/>
                  </pic:nvPicPr>
                  <pic:blipFill rotWithShape="1">
                    <a:blip r:embed="rId29"/>
                    <a:stretch/>
                  </pic:blipFill>
                  <pic:spPr>
                    <a:xfrm flipH="0" flipV="0">
                      <a:off x="0" y="0"/>
                      <a:ext cx="20097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1514475" cy="2124075"/>
            <wp:effectExtent l="0" t="0" r="0" b="0"/>
            <wp:docPr id="6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6" name="picture" descr="descript"/>
                    <pic:cNvPicPr/>
                  </pic:nvPicPr>
                  <pic:blipFill rotWithShape="1">
                    <a:blip r:embed="rId30"/>
                    <a:srcRect/>
                    <a:stretch/>
                  </pic:blipFill>
                  <pic:spPr>
                    <a:xfrm flipH="0" flipV="0">
                      <a:off x="0" y="0"/>
                      <a:ext cx="1514475" cy="2124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1771650" cy="2124075"/>
            <wp:effectExtent l="0" t="0" r="0" b="0"/>
            <wp:docPr id="6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9" name="picture" descr="descript"/>
                    <pic:cNvPicPr/>
                  </pic:nvPicPr>
                  <pic:blipFill rotWithShape="1">
                    <a:blip r:embed="rId31"/>
                    <a:stretch/>
                  </pic:blipFill>
                  <pic:spPr>
                    <a:xfrm flipH="0" flipV="0">
                      <a:off x="0" y="0"/>
                      <a:ext cx="17716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01E75">
      <w:pPr>
        <w:numPr>
          <w:ilvl w:val="0"/>
          <w:numId w:val="4"/>
        </w:numPr>
        <w:pBdr/>
        <w:ind/>
        <w:jc w:val="both"/>
        <w:rPr>
          <w:color w:val="262626"/>
        </w:rPr>
      </w:pPr>
      <w:r>
        <w:rPr>
          <w:rFonts w:hint="eastAsia"/>
          <w:color w:val="262626"/>
        </w:rPr>
        <w:t>收貨模式切換選擇E/AS模式。</w:t>
      </w:r>
    </w:p>
    <w:p w14:paraId="603587B8">
      <w:pPr>
        <w:pBdr/>
        <w:ind w:left="336"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2009775" cy="3009900"/>
            <wp:effectExtent l="0" t="0" r="0" b="0"/>
            <wp:docPr id="7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72" name="picture" descr="descript"/>
                    <pic:cNvPicPr/>
                  </pic:nvPicPr>
                  <pic:blipFill rotWithShape="1">
                    <a:blip r:embed="rId32"/>
                    <a:stretch/>
                  </pic:blipFill>
                  <pic:spPr>
                    <a:xfrm flipH="0" flipV="0">
                      <a:off x="0" y="0"/>
                      <a:ext cx="20097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2028825" cy="3000375"/>
            <wp:effectExtent l="0" t="0" r="0" b="0"/>
            <wp:docPr id="7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75" name="picture" descr="descript"/>
                    <pic:cNvPicPr/>
                  </pic:nvPicPr>
                  <pic:blipFill rotWithShape="1">
                    <a:blip r:embed="rId33"/>
                    <a:stretch/>
                  </pic:blipFill>
                  <pic:spPr>
                    <a:xfrm flipH="0" flipV="0">
                      <a:off x="0" y="0"/>
                      <a:ext cx="20288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7E450">
      <w:pPr>
        <w:ind w:left="336"/>
        <w:jc w:val="both"/>
        <w:rPr>
          <w:color w:val="262626"/>
        </w:rPr>
      </w:pPr>
    </w:p>
    <w:p w14:paraId="08DE8C09">
      <w:pPr>
        <w:jc w:val="both"/>
      </w:pPr>
      <w:r>
        <w:rPr>
          <w:b w:val="1"/>
          <w:color w:val="1F3864"/>
        </w:rPr>
        <w:t xml:space="preserve">3. </w:t>
      </w:r>
      <w:r>
        <w:rPr>
          <w:rFonts w:hint="eastAsia"/>
          <w:color w:val="262626"/>
        </w:rPr>
        <w:t>執行RFID掃描核對，完成後點擊提交。</w:t>
      </w:r>
    </w:p>
    <w:p w14:paraId="5CAEE6DF">
      <w:pPr>
        <w:jc w:val="both"/>
      </w:pPr>
      <w:r>
        <w:rPr>
          <w:b w:val="1"/>
          <w:color w:val="1F3864"/>
        </w:rPr>
        <w:t xml:space="preserve">4. </w:t>
      </w:r>
      <w:r>
        <w:rPr>
          <w:rFonts w:hint="eastAsia"/>
          <w:color w:val="262626"/>
        </w:rPr>
        <w:t>單據顯示【未收齊】，點擊【提交審核】，最終更新為【已審核】狀態。</w:t>
      </w:r>
    </w:p>
    <w:p w14:paraId="3CDBDC4B">
      <w:pPr>
        <w:pStyle w:val="000004"/>
        <w:spacing w:after="80"/>
      </w:pPr>
      <w:bookmarkStart w:id="29" w:name="_Toc240846199"/>
      <w:r>
        <w:rPr>
          <w:rFonts w:hint="eastAsia" w:ascii="Arial" w:hAnsi="Arial" w:eastAsia="黑体"/>
        </w:rPr>
        <w:t>8.2 特殊收貨：零驗收 &amp; 短收</w:t>
      </w:r>
      <w:bookmarkEnd w:id="29"/>
    </w:p>
    <w:p w14:paraId="599EF692">
      <w:pPr>
        <w:pStyle w:val="00002b"/>
        <w:jc w:val="both"/>
      </w:pPr>
      <w:r>
        <w:rPr>
          <w:rFonts w:hint="eastAsia"/>
          <w:color w:val="262626"/>
        </w:rPr>
        <w:t>零驗收（全單無收到任何貨品）：於待收貨頁籤，選中對應單據向左滑動，點擊零驗收，確認提交審核，系統將自動完成入帳。</w:t>
      </w:r>
    </w:p>
    <w:p w14:paraId="42662A43">
      <w:pPr>
        <w:pStyle w:val="00002b"/>
        <w:jc w:val="both"/>
      </w:pPr>
      <w:r>
        <w:rPr>
          <w:rFonts w:hint="eastAsia"/>
          <w:color w:val="262626"/>
        </w:rPr>
        <w:t>短收（僅收到部分貨品）：於未收齊頁籤，選中單據左滑，點擊【提交審核（短收）】，系統自動完成對應入帳作業。</w:t>
      </w:r>
    </w:p>
    <w:p w14:paraId="64702368">
      <w:pPr>
        <w:pStyle w:val="000004"/>
        <w:spacing w:after="80"/>
      </w:pPr>
      <w:bookmarkStart w:id="30" w:name="_Toc240846200"/>
      <w:r>
        <w:rPr>
          <w:rFonts w:hint="eastAsia" w:ascii="Arial" w:hAnsi="Arial" w:eastAsia="黑体"/>
        </w:rPr>
        <w:t>8.3 發貨單據修改操作</w:t>
      </w:r>
      <w:bookmarkEnd w:id="30"/>
    </w:p>
    <w:p w14:paraId="3D0B292B">
      <w:pPr>
        <w:pStyle w:val="000006"/>
        <w:spacing w:before="160" w:after="60"/>
      </w:pPr>
      <w:r>
        <w:rPr>
          <w:rFonts w:hint="eastAsia" w:ascii="Arial" w:hAnsi="Arial" w:eastAsia="黑体"/>
        </w:rPr>
        <w:t>場景一：發貨單未提交審核（未審核頁籤）</w:t>
      </w:r>
    </w:p>
    <w:p w14:paraId="45FCA712">
      <w:pPr>
        <w:pBdr/>
        <w:ind/>
        <w:jc w:val="both"/>
        <w:rPr>
          <w:color w:val="262626"/>
        </w:rPr>
      </w:pPr>
      <w:r>
        <w:rPr>
          <w:rFonts w:hint="eastAsia"/>
          <w:b w:val="1"/>
          <w:color w:val="1F3864"/>
        </w:rPr>
        <w:t>方法①：</w:t>
      </w:r>
      <w:r>
        <w:rPr>
          <w:rFonts w:hint="eastAsia"/>
          <w:color w:val="262626"/>
        </w:rPr>
        <w:t>選中單據左滑，查看詳情後點擊【批量刪除】，勾選對應需刪除的EPC標籤，確認刪除。</w:t>
      </w:r>
    </w:p>
    <w:p w14:paraId="204B6FF6">
      <w:pPr>
        <w:pBdr/>
        <w:ind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2228850" cy="2695575"/>
            <wp:effectExtent l="0" t="0" r="0" b="0"/>
            <wp:docPr id="77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78" name="picture" descr="descript"/>
                    <pic:cNvPicPr/>
                  </pic:nvPicPr>
                  <pic:blipFill rotWithShape="1">
                    <a:blip r:embed="rId34"/>
                    <a:stretch/>
                  </pic:blipFill>
                  <pic:spPr>
                    <a:xfrm flipH="0" flipV="0">
                      <a:off x="0" y="0"/>
                      <a:ext cx="22288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2305050" cy="2714625"/>
            <wp:effectExtent l="0" t="0" r="0" b="0"/>
            <wp:docPr id="8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81" name="picture" descr="descript"/>
                    <pic:cNvPicPr/>
                  </pic:nvPicPr>
                  <pic:blipFill rotWithShape="1">
                    <a:blip r:embed="rId35"/>
                    <a:stretch/>
                  </pic:blipFill>
                  <pic:spPr>
                    <a:xfrm flipH="0" flipV="0">
                      <a:off x="0" y="0"/>
                      <a:ext cx="23050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BEFB8">
      <w:pPr>
        <w:pBdr/>
        <w:ind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1524000" cy="2733675"/>
            <wp:effectExtent l="0" t="0" r="0" b="0"/>
            <wp:docPr id="8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84" name="picture" descr="descript"/>
                    <pic:cNvPicPr/>
                  </pic:nvPicPr>
                  <pic:blipFill rotWithShape="1">
                    <a:blip r:embed="rId36"/>
                    <a:stretch/>
                  </pic:blipFill>
                  <pic:spPr>
                    <a:xfrm flipH="0" flipV="0">
                      <a:off x="0" y="0"/>
                      <a:ext cx="1524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1628775" cy="2733675"/>
            <wp:effectExtent l="0" t="0" r="0" b="0"/>
            <wp:docPr id="8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87" name="picture" descr="descript"/>
                    <pic:cNvPicPr/>
                  </pic:nvPicPr>
                  <pic:blipFill rotWithShape="1">
                    <a:blip r:embed="rId37"/>
                    <a:stretch/>
                  </pic:blipFill>
                  <pic:spPr>
                    <a:xfrm flipH="0" flipV="0">
                      <a:off x="0" y="0"/>
                      <a:ext cx="16287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2143125" cy="2809875"/>
            <wp:effectExtent l="0" t="0" r="0" b="0"/>
            <wp:docPr id="8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90" name="picture" descr="descript"/>
                    <pic:cNvPicPr/>
                  </pic:nvPicPr>
                  <pic:blipFill rotWithShape="1">
                    <a:blip r:embed="rId38"/>
                    <a:stretch/>
                  </pic:blipFill>
                  <pic:spPr>
                    <a:xfrm flipH="0" flipV="0">
                      <a:off x="0" y="0"/>
                      <a:ext cx="21431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BF726">
      <w:pPr>
        <w:pBdr/>
        <w:ind/>
        <w:jc w:val="both"/>
        <w:rPr>
          <w:color w:val="262626"/>
        </w:rPr>
      </w:pPr>
    </w:p>
    <w:p w14:paraId="7503DF65">
      <w:pPr>
        <w:pBdr/>
        <w:ind/>
        <w:jc w:val="both"/>
        <w:rPr>
          <w:color w:val="262626"/>
        </w:rPr>
      </w:pPr>
    </w:p>
    <w:p w14:paraId="17CB3465">
      <w:pPr>
        <w:pBdr/>
        <w:ind/>
        <w:jc w:val="both"/>
        <w:rPr>
          <w:color w:val="262626"/>
        </w:rPr>
      </w:pPr>
    </w:p>
    <w:p w14:paraId="31900862">
      <w:pPr>
        <w:pBdr/>
        <w:ind/>
        <w:jc w:val="both"/>
        <w:rPr>
          <w:color w:val="262626"/>
        </w:rPr>
      </w:pPr>
    </w:p>
    <w:p w14:paraId="505B6760">
      <w:pPr>
        <w:pBdr/>
        <w:ind/>
        <w:jc w:val="both"/>
        <w:rPr>
          <w:color w:val="262626"/>
        </w:rPr>
      </w:pPr>
    </w:p>
    <w:p w14:paraId="72227EA3">
      <w:pPr>
        <w:pBdr/>
        <w:ind/>
        <w:jc w:val="both"/>
        <w:rPr>
          <w:color w:val="262626"/>
        </w:rPr>
      </w:pPr>
    </w:p>
    <w:p w14:paraId="70372F09">
      <w:pPr>
        <w:jc w:val="both"/>
        <w:rPr>
          <w:color w:val="262626"/>
        </w:rPr>
      </w:pPr>
    </w:p>
    <w:p w14:paraId="6847D0FD">
      <w:pPr>
        <w:pBdr/>
        <w:ind/>
        <w:jc w:val="both"/>
        <w:rPr>
          <w:color w:val="262626"/>
        </w:rPr>
      </w:pPr>
      <w:r>
        <w:rPr>
          <w:rFonts w:hint="eastAsia"/>
          <w:b w:val="1"/>
          <w:color w:val="1F3864"/>
        </w:rPr>
        <w:t>方法②：</w:t>
      </w:r>
      <w:r>
        <w:rPr>
          <w:rFonts w:hint="eastAsia"/>
          <w:color w:val="262626"/>
        </w:rPr>
        <w:t>選中異常箱號左滑，點擊刪除箱號，刪除完畢後新建箱號，重新掃描貨品。</w:t>
      </w:r>
    </w:p>
    <w:p w14:paraId="10145300">
      <w:pPr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2771775" cy="3381375"/>
            <wp:effectExtent l="0" t="0" r="0" b="0"/>
            <wp:docPr id="9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93" name="picture" descr="descript"/>
                    <pic:cNvPicPr/>
                  </pic:nvPicPr>
                  <pic:blipFill rotWithShape="1">
                    <a:blip r:embed="rId39"/>
                    <a:stretch/>
                  </pic:blipFill>
                  <pic:spPr>
                    <a:xfrm flipH="0" flipV="0">
                      <a:off x="0" y="0"/>
                      <a:ext cx="27717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2924175" cy="3381375"/>
            <wp:effectExtent l="0" t="0" r="0" b="0"/>
            <wp:docPr id="9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96" name="picture" descr="descript"/>
                    <pic:cNvPicPr/>
                  </pic:nvPicPr>
                  <pic:blipFill rotWithShape="1">
                    <a:blip r:embed="rId40"/>
                    <a:stretch/>
                  </pic:blipFill>
                  <pic:spPr>
                    <a:xfrm flipH="0" flipV="0">
                      <a:off x="0" y="0"/>
                      <a:ext cx="29241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2886075" cy="3038475"/>
            <wp:effectExtent l="0" t="0" r="0" b="0"/>
            <wp:docPr id="9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99" name="picture" descr="descript"/>
                    <pic:cNvPicPr/>
                  </pic:nvPicPr>
                  <pic:blipFill rotWithShape="1">
                    <a:blip r:embed="rId41"/>
                    <a:stretch/>
                  </pic:blipFill>
                  <pic:spPr>
                    <a:xfrm flipH="0" flipV="0">
                      <a:off x="0" y="0"/>
                      <a:ext cx="28860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2743200" cy="3038475"/>
            <wp:effectExtent l="0" t="0" r="0" b="0"/>
            <wp:docPr id="10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02" name="picture" descr="descript"/>
                    <pic:cNvPicPr/>
                  </pic:nvPicPr>
                  <pic:blipFill rotWithShape="1">
                    <a:blip r:embed="rId42"/>
                    <a:stretch/>
                  </pic:blipFill>
                  <pic:spPr>
                    <a:xfrm flipH="0" flipV="0">
                      <a:off x="0" y="0"/>
                      <a:ext cx="27432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0DBAC">
      <w:pPr>
        <w:pStyle w:val="000006"/>
        <w:spacing w:before="160" w:after="60"/>
      </w:pPr>
      <w:r>
        <w:rPr>
          <w:rFonts w:hint="eastAsia" w:ascii="Arial" w:hAnsi="Arial" w:eastAsia="黑体"/>
        </w:rPr>
        <w:t>場景二：已提交審核、狀態為【待確認】</w:t>
      </w:r>
    </w:p>
    <w:p w14:paraId="5FB849EC">
      <w:pPr>
        <w:jc w:val="both"/>
      </w:pPr>
      <w:r>
        <w:rPr>
          <w:b w:val="1"/>
          <w:color w:val="1F3864"/>
        </w:rPr>
        <w:t xml:space="preserve">1. </w:t>
      </w:r>
      <w:r>
        <w:rPr>
          <w:rFonts w:hint="eastAsia"/>
          <w:color w:val="262626"/>
        </w:rPr>
        <w:t>僅限自營店調撥、自營店退倉單據可修改，自建單據不支援刪除回退功能。</w:t>
      </w:r>
    </w:p>
    <w:p w14:paraId="2A475678">
      <w:pPr>
        <w:numPr>
          <w:ilvl w:val="0"/>
          <w:numId w:val="5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於待確認頁籤打開單據詳情，執行批量刪除異常EPC標籤即可。</w:t>
      </w:r>
    </w:p>
    <w:p w14:paraId="3BF8C710">
      <w:pPr>
        <w:ind w:left="336"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1809750" cy="4076700"/>
            <wp:effectExtent l="0" t="0" r="0" b="0"/>
            <wp:docPr id="10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05" name="picture" descr="descript"/>
                    <pic:cNvPicPr/>
                  </pic:nvPicPr>
                  <pic:blipFill rotWithShape="1">
                    <a:blip r:embed="rId43"/>
                    <a:stretch/>
                  </pic:blipFill>
                  <pic:spPr>
                    <a:xfrm flipH="0" flipV="0">
                      <a:off x="0" y="0"/>
                      <a:ext cx="18097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2114550" cy="4448175"/>
            <wp:effectExtent l="0" t="0" r="0" b="0"/>
            <wp:docPr id="107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08" name="picture" descr="descript"/>
                    <pic:cNvPicPr/>
                  </pic:nvPicPr>
                  <pic:blipFill rotWithShape="1">
                    <a:blip r:embed="rId44"/>
                    <a:srcRect/>
                    <a:stretch/>
                  </pic:blipFill>
                  <pic:spPr>
                    <a:xfrm flipH="0" flipV="0">
                      <a:off x="0" y="0"/>
                      <a:ext cx="2114550" cy="444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1800225" cy="2362200"/>
            <wp:effectExtent l="0" t="0" r="0" b="0"/>
            <wp:docPr id="11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11" name="picture" descr="descript"/>
                    <pic:cNvPicPr/>
                  </pic:nvPicPr>
                  <pic:blipFill rotWithShape="1">
                    <a:blip r:embed="rId45"/>
                    <a:stretch/>
                  </pic:blipFill>
                  <pic:spPr>
                    <a:xfrm flipH="0" flipV="0">
                      <a:off x="0" y="0"/>
                      <a:ext cx="18002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1552575" cy="2619375"/>
            <wp:effectExtent l="0" t="0" r="0" b="0"/>
            <wp:docPr id="11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14" name="picture" descr="descript"/>
                    <pic:cNvPicPr/>
                  </pic:nvPicPr>
                  <pic:blipFill rotWithShape="1">
                    <a:blip r:embed="rId46"/>
                    <a:stretch/>
                  </pic:blipFill>
                  <pic:spPr>
                    <a:xfrm flipH="0" flipV="0">
                      <a:off x="0" y="0"/>
                      <a:ext cx="15525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1828800" cy="2609850"/>
            <wp:effectExtent l="0" t="0" r="0" b="0"/>
            <wp:docPr id="11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17" name="picture" descr="descript"/>
                    <pic:cNvPicPr/>
                  </pic:nvPicPr>
                  <pic:blipFill rotWithShape="1">
                    <a:blip r:embed="rId47"/>
                    <a:stretch/>
                  </pic:blipFill>
                  <pic:spPr>
                    <a:xfrm flipH="0" flipV="0">
                      <a:off x="0" y="0"/>
                      <a:ext cx="18288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94EF2">
      <w:pPr>
        <w:pStyle w:val="000004"/>
        <w:pBdr/>
        <w:spacing w:after="80"/>
        <w:ind/>
        <w:rPr>
          <w:rFonts w:ascii="Arial" w:hAnsi="Arial" w:eastAsia="黑体"/>
        </w:rPr>
      </w:pPr>
      <w:bookmarkStart w:id="31" w:name="_Toc240846201"/>
    </w:p>
    <w:p w14:paraId="389016FC">
      <w:pPr>
        <w:pStyle w:val="000004"/>
        <w:pBdr/>
        <w:spacing w:after="80"/>
        <w:ind/>
        <w:rPr>
          <w:rFonts w:ascii="Arial" w:hAnsi="Arial" w:eastAsia="黑体"/>
        </w:rPr>
      </w:pPr>
    </w:p>
    <w:p w14:paraId="51F992F8">
      <w:pPr>
        <w:pStyle w:val="000004"/>
        <w:spacing w:after="80"/>
      </w:pPr>
      <w:r>
        <w:rPr>
          <w:rFonts w:hint="eastAsia" w:ascii="Arial" w:hAnsi="Arial" w:eastAsia="黑体"/>
        </w:rPr>
        <w:t>8.4 手持機常見報錯、設置、異常處理</w:t>
      </w:r>
      <w:bookmarkEnd w:id="31"/>
    </w:p>
    <w:p w14:paraId="6E880BFB">
      <w:pPr>
        <w:pStyle w:val="000006"/>
        <w:spacing w:before="160" w:after="60"/>
      </w:pPr>
      <w:r>
        <w:rPr>
          <w:rFonts w:hint="eastAsia" w:ascii="Arial" w:hAnsi="Arial" w:eastAsia="黑体"/>
        </w:rPr>
        <w:t>8.4.1 越庫收貨常見報錯及處理</w:t>
      </w:r>
    </w:p>
    <w:p w14:paraId="74409EDB">
      <w:pPr>
        <w:jc w:val="both"/>
      </w:pPr>
      <w:r>
        <w:rPr>
          <w:b w:val="1"/>
          <w:color w:val="1F3864"/>
        </w:rPr>
        <w:t xml:space="preserve">1. </w:t>
      </w:r>
      <w:r>
        <w:rPr>
          <w:rFonts w:hint="eastAsia"/>
          <w:color w:val="262626"/>
        </w:rPr>
        <w:t>貨箱SKU與系統箱清單內容不一致 → 無法執行按箱收貨。</w:t>
      </w:r>
    </w:p>
    <w:p w14:paraId="6E1B2F5E">
      <w:pPr>
        <w:jc w:val="both"/>
      </w:pPr>
      <w:r>
        <w:rPr>
          <w:b w:val="1"/>
          <w:color w:val="1F3864"/>
        </w:rPr>
        <w:t xml:space="preserve">2. </w:t>
      </w:r>
      <w:r>
        <w:rPr>
          <w:rFonts w:hint="eastAsia"/>
          <w:color w:val="262626"/>
        </w:rPr>
        <w:t>該貨箱已於其他單據完成收貨，箱號資訊重複錄入 → 禁止重複收貨。</w:t>
      </w:r>
    </w:p>
    <w:p w14:paraId="23F51413">
      <w:pPr>
        <w:jc w:val="both"/>
      </w:pPr>
      <w:r>
        <w:rPr>
          <w:b w:val="1"/>
          <w:color w:val="1F3864"/>
        </w:rPr>
        <w:t xml:space="preserve">3. </w:t>
      </w:r>
      <w:r>
        <w:rPr>
          <w:rFonts w:hint="eastAsia"/>
          <w:color w:val="262626"/>
        </w:rPr>
        <w:t>貨箱歸屬其他門店，當前門店無收貨權限。</w:t>
      </w:r>
    </w:p>
    <w:p w14:paraId="373C94F3">
      <w:pPr>
        <w:pBdr/>
        <w:ind w:firstLine="480"/>
        <w:jc w:val="both"/>
        <w:rPr>
          <w:color w:val="262626"/>
        </w:rPr>
      </w:pPr>
      <w:r>
        <w:rPr>
          <w:rFonts w:hint="eastAsia"/>
          <w:color w:val="262626"/>
        </w:rPr>
        <w:t>出現以上所有異常，禁止私自操作，即時聯繫物流組同事或IT人員排查處理。</w:t>
      </w:r>
    </w:p>
    <w:p w14:paraId="0C0FD82D">
      <w:pPr>
        <w:ind w:firstLine="480"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1619250" cy="3981450"/>
            <wp:effectExtent l="0" t="0" r="0" b="0"/>
            <wp:docPr id="11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20" name="picture" descr="descript"/>
                    <pic:cNvPicPr/>
                  </pic:nvPicPr>
                  <pic:blipFill rotWithShape="1">
                    <a:blip r:embed="rId48"/>
                    <a:stretch/>
                  </pic:blipFill>
                  <pic:spPr>
                    <a:xfrm flipH="0" flipV="0">
                      <a:off x="0" y="0"/>
                      <a:ext cx="16192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1895475" cy="4048125"/>
            <wp:effectExtent l="0" t="0" r="0" b="0"/>
            <wp:docPr id="12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23" name="picture" descr="descript"/>
                    <pic:cNvPicPr/>
                  </pic:nvPicPr>
                  <pic:blipFill rotWithShape="1">
                    <a:blip r:embed="rId49"/>
                    <a:srcRect/>
                    <a:stretch/>
                  </pic:blipFill>
                  <pic:spPr>
                    <a:xfrm flipH="0" flipV="0">
                      <a:off x="0" y="0"/>
                      <a:ext cx="1895475" cy="404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262626"/>
        </w:rPr>
        <w:drawing>
          <wp:inline distT="0" distB="0" distL="0" distR="0">
            <wp:extent cx="1590675" cy="3933825"/>
            <wp:effectExtent l="0" t="0" r="0" b="0"/>
            <wp:docPr id="12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26" name="picture" descr="descript"/>
                    <pic:cNvPicPr/>
                  </pic:nvPicPr>
                  <pic:blipFill rotWithShape="1">
                    <a:blip r:embed="rId50"/>
                    <a:stretch/>
                  </pic:blipFill>
                  <pic:spPr>
                    <a:xfrm flipH="0" flipV="0">
                      <a:off x="0" y="0"/>
                      <a:ext cx="15906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4DD76">
      <w:pPr>
        <w:pStyle w:val="000006"/>
        <w:spacing w:before="160" w:after="60"/>
      </w:pPr>
      <w:r>
        <w:rPr>
          <w:rFonts w:hint="eastAsia" w:ascii="Arial" w:hAnsi="Arial" w:eastAsia="黑体"/>
        </w:rPr>
        <w:t>8.4.2 RFID功率標準設置</w:t>
      </w:r>
    </w:p>
    <w:p w14:paraId="2510CAAA">
      <w:pPr>
        <w:keepNext w:val="1"/>
        <w:spacing w:before="120" w:after="80" w:line="240" w:lineRule="auto"/>
        <w:jc w:val="center"/>
      </w:pPr>
      <w:r>
        <w:rPr>
          <w:rFonts w:hint="eastAsia" w:eastAsia="黑体"/>
          <w:b w:val="1"/>
          <w:color w:val="1F3864"/>
          <w:sz w:val="21"/>
        </w:rPr>
        <w:t>表6 RFID功率標準設置</w:t>
      </w:r>
    </w:p>
    <w:tbl>
      <w:tblPr>
        <w:tblStyle w:val="000048"/>
        <w:tblW w:w="0" w:type="auto"/>
        <w:jc w:val="center"/>
        <w:tblLayout w:type="fixed"/>
        <w:tblLook w:firstRow="1" w:lastRow="0" w:firstColumn="1" w:lastColumn="0" w:noHBand="0" w:noVBand="1" w:val="04A0"/>
      </w:tblPr>
      <w:tblGrid>
        <w:gridCol w:w="2835"/>
        <w:gridCol w:w="5102"/>
      </w:tblGrid>
      <w:tr>
        <w:trPr>
          <w:cantSplit w:val="1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103BAA96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作業類別</w:t>
            </w:r>
          </w:p>
        </w:tc>
        <w:tc>
          <w:tcPr>
            <w:tcW w:w="5102" w:type="dxa"/>
            <w:shd w:val="clear" w:color="auto" w:fill="D9D9D9"/>
            <w:vAlign w:val="center"/>
          </w:tcPr>
          <w:p w14:paraId="5C0BF343">
            <w:pPr>
              <w:spacing w:before="40" w:after="40" w:line="240" w:lineRule="auto"/>
              <w:jc w:val="center"/>
            </w:pPr>
            <w:r>
              <w:rPr>
                <w:rFonts w:hint="eastAsia"/>
                <w:b w:val="1"/>
                <w:color w:val="262626"/>
                <w:sz w:val="21"/>
              </w:rPr>
              <w:t>建議功率</w:t>
            </w:r>
          </w:p>
        </w:tc>
      </w:tr>
      <w:tr>
        <w:trPr>
          <w:cantSplit w:val="1"/>
          <w:jc w:val="center"/>
        </w:trPr>
        <w:tc>
          <w:tcPr>
            <w:tcW w:w="2835" w:type="dxa"/>
            <w:vAlign w:val="center"/>
          </w:tcPr>
          <w:p w14:paraId="418041C8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發貨、退倉、防偽</w:t>
            </w:r>
          </w:p>
        </w:tc>
        <w:tc>
          <w:tcPr>
            <w:tcW w:w="5102" w:type="dxa"/>
            <w:vAlign w:val="center"/>
          </w:tcPr>
          <w:p w14:paraId="7068745D">
            <w:pPr>
              <w:spacing w:before="40" w:after="40" w:line="240" w:lineRule="auto"/>
            </w:pPr>
            <w:r>
              <w:rPr>
                <w:rFonts w:hint="eastAsia"/>
                <w:color w:val="262626"/>
                <w:sz w:val="21"/>
              </w:rPr>
              <w:t>3dBM（功率不宜過大，避免誤感應周邊無關貨品）</w:t>
            </w:r>
          </w:p>
        </w:tc>
      </w:tr>
      <w:tr>
        <w:trPr>
          <w:cantSplit w:val="1"/>
          <w:jc w:val="center"/>
        </w:trPr>
        <w:tc>
          <w:tcPr>
            <w:tcW w:w="2835" w:type="dxa"/>
            <w:vAlign w:val="center"/>
          </w:tcPr>
          <w:p w14:paraId="5CC6BD8E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盤點、找貨</w:t>
            </w:r>
          </w:p>
        </w:tc>
        <w:tc>
          <w:tcPr>
            <w:tcW w:w="5102" w:type="dxa"/>
            <w:vAlign w:val="center"/>
          </w:tcPr>
          <w:p w14:paraId="4F62DE35">
            <w:pPr>
              <w:spacing w:before="40" w:after="40" w:line="240" w:lineRule="auto"/>
              <w:jc w:val="center"/>
            </w:pPr>
            <w:r>
              <w:rPr>
                <w:rFonts w:hint="eastAsia"/>
                <w:color w:val="262626"/>
                <w:sz w:val="21"/>
              </w:rPr>
              <w:t>最大30dBM</w:t>
            </w:r>
          </w:p>
        </w:tc>
      </w:tr>
    </w:tbl>
    <w:p w14:paraId="3582B171">
      <w:pPr>
        <w:pStyle w:val="000004"/>
        <w:pBdr/>
        <w:spacing w:after="80"/>
        <w:ind/>
        <w:rPr>
          <w:rFonts w:ascii="Arial" w:hAnsi="Arial" w:eastAsia="黑体"/>
        </w:rPr>
      </w:pPr>
      <w:bookmarkStart w:id="32" w:name="_Toc240846202"/>
      <w:r>
        <w:rPr>
          <w:rFonts w:ascii="Arial" w:hAnsi="Arial" w:eastAsia="黑体"/>
        </w:rPr>
        <w:drawing>
          <wp:inline distT="0" distB="0" distL="0" distR="0">
            <wp:extent cx="2209800" cy="1743075"/>
            <wp:effectExtent l="0" t="0" r="0" b="0"/>
            <wp:docPr id="12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29" name="picture" descr="descript"/>
                    <pic:cNvPicPr/>
                  </pic:nvPicPr>
                  <pic:blipFill rotWithShape="1">
                    <a:blip r:embed="rId51"/>
                    <a:stretch/>
                  </pic:blipFill>
                  <pic:spPr>
                    <a:xfrm flipH="0" flipV="0">
                      <a:off x="0" y="0"/>
                      <a:ext cx="2209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AD47E">
      <w:pPr>
        <w:pStyle w:val="000001"/>
        <w:pBdr/>
        <w:spacing w:after="80"/>
        <w:ind/>
      </w:pPr>
    </w:p>
    <w:p w14:paraId="7AC82896">
      <w:pPr>
        <w:pStyle w:val="000004"/>
        <w:spacing w:after="80"/>
      </w:pPr>
      <w:r>
        <w:rPr>
          <w:rFonts w:hint="eastAsia" w:ascii="Arial" w:hAnsi="Arial" w:eastAsia="黑体"/>
        </w:rPr>
        <w:t>8.5 門店指令轉貨（自營店調撥）完整4步流程</w:t>
      </w:r>
      <w:bookmarkEnd w:id="32"/>
    </w:p>
    <w:p w14:paraId="6BCA0D42">
      <w:pPr>
        <w:pBdr>
          <w:top w:val="single" w:color="D9D9D9" w:sz="4" w:space="4"/>
          <w:left w:val="single" w:color="E10600" w:sz="24" w:space="4"/>
          <w:bottom w:val="single" w:color="D9D9D9" w:sz="4" w:space="4"/>
          <w:right w:val="single" w:color="D9D9D9" w:sz="4" w:space="4"/>
        </w:pBdr>
        <w:shd w:val="clear" w:color="auto" w:fill="F2F2F2"/>
        <w:spacing w:before="120" w:after="120" w:line="336" w:lineRule="auto"/>
        <w:jc w:val="both"/>
      </w:pPr>
      <w:r>
        <w:rPr>
          <w:rFonts w:hint="eastAsia" w:eastAsia="黑体"/>
          <w:b w:val="1"/>
          <w:color w:val="1F3864"/>
        </w:rPr>
        <w:t>備註：</w:t>
      </w:r>
      <w:r>
        <w:rPr>
          <w:rFonts w:hint="eastAsia"/>
          <w:color w:val="262626"/>
        </w:rPr>
        <w:t>RFID單據的貨品數據採集必須透過手持RFID機完成，新零售網頁端不支援掃描採集。</w:t>
      </w:r>
    </w:p>
    <w:p w14:paraId="416B861A">
      <w:pPr>
        <w:pStyle w:val="000006"/>
        <w:spacing w:before="160" w:after="60"/>
      </w:pPr>
      <w:r>
        <w:rPr>
          <w:rFonts w:hint="eastAsia" w:ascii="Arial" w:hAnsi="Arial" w:eastAsia="黑体"/>
        </w:rPr>
        <w:t>步驟1：手持機新建箱、掃描貨品（狀態：新單→未審核）</w:t>
      </w:r>
    </w:p>
    <w:p w14:paraId="5504674A">
      <w:pPr>
        <w:jc w:val="both"/>
      </w:pPr>
      <w:r>
        <w:rPr>
          <w:b w:val="1"/>
          <w:color w:val="1F3864"/>
        </w:rPr>
        <w:t xml:space="preserve">1. </w:t>
      </w:r>
      <w:r>
        <w:rPr>
          <w:rFonts w:hint="eastAsia"/>
          <w:color w:val="262626"/>
        </w:rPr>
        <w:t>於發貨單列表找到對應自營店調撥單據。</w:t>
      </w:r>
    </w:p>
    <w:p w14:paraId="24FB658A">
      <w:pPr>
        <w:jc w:val="both"/>
      </w:pPr>
      <w:r>
        <w:rPr>
          <w:b w:val="1"/>
          <w:color w:val="1F3864"/>
        </w:rPr>
        <w:t xml:space="preserve">2. </w:t>
      </w:r>
      <w:r>
        <w:rPr>
          <w:rFonts w:hint="eastAsia"/>
          <w:color w:val="262626"/>
        </w:rPr>
        <w:t>點擊【新建箱號並進入掃描頁面】，透過RFID感應完成貨品掃描錄入。</w:t>
      </w:r>
    </w:p>
    <w:p w14:paraId="5B7328F0">
      <w:pPr>
        <w:pStyle w:val="000006"/>
        <w:spacing w:before="160" w:after="60"/>
      </w:pPr>
      <w:r>
        <w:rPr>
          <w:rFonts w:hint="eastAsia" w:ascii="Arial" w:hAnsi="Arial" w:eastAsia="黑体"/>
        </w:rPr>
        <w:t>步驟2：手持機提交審核（狀態：未審核→待確認）</w:t>
      </w:r>
    </w:p>
    <w:p w14:paraId="6BF655CD">
      <w:pPr>
        <w:jc w:val="both"/>
      </w:pPr>
      <w:r>
        <w:rPr>
          <w:b w:val="1"/>
          <w:color w:val="1F3864"/>
        </w:rPr>
        <w:t xml:space="preserve">1. </w:t>
      </w:r>
      <w:r>
        <w:rPr>
          <w:rFonts w:hint="eastAsia"/>
          <w:color w:val="262626"/>
        </w:rPr>
        <w:t>返回發貨單列表「未審核」頁籤，選取對應單據左滑，點擊提交審核。</w:t>
      </w:r>
    </w:p>
    <w:p w14:paraId="644698C6">
      <w:pPr>
        <w:jc w:val="both"/>
      </w:pPr>
      <w:r>
        <w:rPr>
          <w:b w:val="1"/>
          <w:color w:val="1F3864"/>
        </w:rPr>
        <w:t xml:space="preserve">2. </w:t>
      </w:r>
      <w:r>
        <w:rPr>
          <w:rFonts w:hint="eastAsia"/>
          <w:color w:val="262626"/>
        </w:rPr>
        <w:t>彈窗確認審核後，單據狀態更新為【待確認】。</w:t>
      </w:r>
    </w:p>
    <w:p w14:paraId="035FD526">
      <w:pPr>
        <w:pStyle w:val="000006"/>
        <w:spacing w:before="160" w:after="60"/>
      </w:pPr>
      <w:r>
        <w:rPr>
          <w:rFonts w:hint="eastAsia" w:ascii="Arial" w:hAnsi="Arial" w:eastAsia="黑体"/>
        </w:rPr>
        <w:t>步驟3：新零售網頁端轉出確認（狀態：待確認→已確認；帳務：未入帳→已入帳）</w:t>
      </w:r>
    </w:p>
    <w:p w14:paraId="0E80D7E4">
      <w:pPr>
        <w:ind w:firstLine="480"/>
        <w:jc w:val="both"/>
      </w:pPr>
      <w:r>
        <w:rPr>
          <w:rFonts w:hint="eastAsia"/>
          <w:color w:val="262626"/>
        </w:rPr>
        <w:t>登錄新零售PC端後台，找到對應轉貨單據，點擊【轉出確認】，完成後手持機單據同步更新為【已確認】。</w:t>
      </w:r>
    </w:p>
    <w:p w14:paraId="7FE70B6F">
      <w:pPr>
        <w:pStyle w:val="000006"/>
        <w:spacing w:before="160" w:after="60"/>
      </w:pPr>
      <w:r>
        <w:rPr>
          <w:rFonts w:hint="eastAsia" w:ascii="Arial" w:hAnsi="Arial" w:eastAsia="黑体"/>
        </w:rPr>
        <w:t>步驟4：列印箱貼標籤</w:t>
      </w:r>
    </w:p>
    <w:p w14:paraId="5DAE97B6">
      <w:pPr>
        <w:ind w:firstLine="480"/>
        <w:jc w:val="both"/>
      </w:pPr>
      <w:r>
        <w:rPr>
          <w:rFonts w:hint="eastAsia"/>
          <w:color w:val="262626"/>
        </w:rPr>
        <w:t>於新零售系統執行「RFID箱貼批量列印」，將標籤整齊張貼於貨箱外側醒目位置。</w:t>
      </w:r>
    </w:p>
    <w:p w14:paraId="0DFEFAA9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bookmarkStart w:id="33" w:name="_Toc240846203"/>
      <w:r>
        <w:rPr>
          <w:rFonts w:hint="eastAsia" w:ascii="Arial" w:hAnsi="Arial" w:eastAsia="黑体"/>
        </w:rPr>
        <w:t>9. 盤點機（PDA）程序報錯處理</w:t>
      </w:r>
      <w:bookmarkEnd w:id="33"/>
    </w:p>
    <w:p w14:paraId="5D70DB61">
      <w:pPr>
        <w:pBdr/>
        <w:ind/>
        <w:jc w:val="both"/>
        <w:rPr>
          <w:color w:val="262626"/>
        </w:rPr>
      </w:pPr>
      <w:r>
        <w:rPr>
          <w:rFonts w:hint="eastAsia"/>
          <w:color w:val="262626"/>
        </w:rPr>
        <w:t>當盤點機彈出程序異常、閃退、無法打開等報錯，依照以下標準步驟修復：</w:t>
      </w:r>
    </w:p>
    <w:p w14:paraId="5654BBAB">
      <w:pPr>
        <w:snapToGrid w:val="1"/>
        <w:spacing w:before="100" w:after="200" w:line="276"/>
        <w:ind w:left="0" w:right="0"/>
      </w:pPr>
      <w:r>
        <w:rPr>
          <w:rFonts w:ascii="Microsoft YaHei" w:hAnsi="Microsoft YaHei" w:eastAsia="Microsoft YaHei" w:cs="Microsoft YaHei"/>
          <w:i w:val="0"/>
          <w:strike w:val="0"/>
          <w:color w:val="000000"/>
          <w:sz w:val="24"/>
          <w:u w:val="none"/>
          <w:shd w:val="clear" w:color="auto" w:fill="FFFFFF"/>
        </w:rPr>
        <w:t xml:space="preserve"> </w:t>
      </w:r>
      <w:r>
        <w:rPr>
          <w:rFonts w:hint="eastAsia" w:ascii="Microsoft YaHei" w:hAnsi="Microsoft YaHei" w:eastAsia="Microsoft YaHei" w:cs="Microsoft YaHei"/>
          <w:b w:val="1"/>
          <w:i w:val="0"/>
          <w:strike w:val="0"/>
          <w:color w:val="FF0000"/>
          <w:sz w:val="24"/>
          <w:u w:val="none"/>
          <w:shd w:val="clear" w:color="auto" w:fill="FFFFFF"/>
        </w:rPr>
        <w:t>错误</w:t>
      </w:r>
    </w:p>
    <w:p w14:paraId="6BCA93A8">
      <w:pPr>
        <w:pBdr/>
        <w:ind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2000250" cy="1905000"/>
            <wp:effectExtent l="0" t="0" r="0" b="0"/>
            <wp:docPr id="13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32" name="picture" descr="descript"/>
                    <pic:cNvPicPr/>
                  </pic:nvPicPr>
                  <pic:blipFill rotWithShape="1">
                    <a:blip r:embed="rId52"/>
                    <a:stretch/>
                  </pic:blipFill>
                  <pic:spPr>
                    <a:xfrm flipH="0" flipV="0">
                      <a:off x="0" y="0"/>
                      <a:ext cx="2000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2DB32">
      <w:pPr>
        <w:pBdr>
          <w:bottom/>
        </w:pBdr>
        <w:snapToGrid w:val="1"/>
        <w:spacing w:line="240"/>
        <w:ind w:left="0" w:right="0"/>
      </w:pPr>
      <w:r>
        <w:rPr>
          <w:rFonts w:hint="eastAsia" w:ascii="SimSun" w:hAnsi="SimSun" w:eastAsia="SimSun" w:cs="SimSun"/>
          <w:i w:val="0"/>
          <w:strike w:val="0"/>
          <w:color w:val="212121"/>
          <w:sz w:val="21"/>
          <w:u w:val="none"/>
          <w:shd w:val="clear" w:color="auto" w:fill="FFFFFF"/>
        </w:rPr>
        <w:t>根據</w:t>
      </w:r>
      <w:r>
        <w:rPr>
          <w:rFonts w:hint="eastAsia" w:ascii="EmojiFont" w:hAnsi="EmojiFont" w:eastAsia="EmojiFont" w:cs="EmojiFont"/>
          <w:i w:val="0"/>
          <w:strike w:val="0"/>
          <w:color w:val="212121"/>
          <w:sz w:val="21"/>
          <w:u w:val="none"/>
          <w:shd w:val="clear" w:color="auto" w:fill="FFFFFF"/>
        </w:rPr>
        <w:t>下图方法处理。</w:t>
      </w:r>
    </w:p>
    <w:p w14:paraId="7F11DD54">
      <w:pPr>
        <w:numPr>
          <w:ilvl w:val="0"/>
          <w:numId w:val="6"/>
        </w:numPr>
        <w:pBdr/>
        <w:ind/>
        <w:jc w:val="both"/>
      </w:pPr>
      <w:r>
        <w:rPr>
          <w:rFonts w:hint="eastAsia"/>
          <w:color w:val="262626"/>
        </w:rPr>
        <w:t>於設備桌面刪除舊的盤點程式快捷方式。</w:t>
      </w:r>
    </w:p>
    <w:p w14:paraId="52AD623B">
      <w:pPr>
        <w:pBdr/>
        <w:ind w:left="336"/>
        <w:jc w:val="both"/>
      </w:pPr>
      <w:r>
        <w:rPr/>
        <w:drawing>
          <wp:inline distT="0" distB="0" distL="0" distR="0">
            <wp:extent cx="2133600" cy="2552700"/>
            <wp:effectExtent l="0" t="0" r="0" b="0"/>
            <wp:docPr id="13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35" name="picture" descr="descript"/>
                    <pic:cNvPicPr/>
                  </pic:nvPicPr>
                  <pic:blipFill rotWithShape="1">
                    <a:blip r:embed="rId53"/>
                    <a:stretch/>
                  </pic:blipFill>
                  <pic:spPr>
                    <a:xfrm flipH="0" flipV="0">
                      <a:off x="0" y="0"/>
                      <a:ext cx="21336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114550" cy="2562225"/>
            <wp:effectExtent l="0" t="0" r="0" b="0"/>
            <wp:docPr id="137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38" name="picture" descr="descript"/>
                    <pic:cNvPicPr/>
                  </pic:nvPicPr>
                  <pic:blipFill rotWithShape="1">
                    <a:blip r:embed="rId54"/>
                    <a:stretch/>
                  </pic:blipFill>
                  <pic:spPr>
                    <a:xfrm flipH="0" flipV="0">
                      <a:off x="0" y="0"/>
                      <a:ext cx="21145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479AA">
      <w:pPr>
        <w:pBdr/>
        <w:ind w:left="336"/>
        <w:jc w:val="both"/>
      </w:pPr>
    </w:p>
    <w:p w14:paraId="163E95DC">
      <w:pPr>
        <w:pBdr/>
        <w:ind w:left="336"/>
        <w:jc w:val="both"/>
      </w:pPr>
    </w:p>
    <w:p w14:paraId="09A23FBF">
      <w:pPr>
        <w:numPr>
          <w:ilvl w:val="0"/>
          <w:numId w:val="6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打開My Device設備目錄，進入Storage Card2存儲卡文件夾。</w:t>
      </w:r>
    </w:p>
    <w:p w14:paraId="16F54994">
      <w:pPr>
        <w:pBdr>
          <w:bottom/>
        </w:pBdr>
        <w:ind w:left="336"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2114550" cy="2000250"/>
            <wp:effectExtent l="0" t="0" r="0" b="0"/>
            <wp:docPr id="14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41" name="picture" descr="descript"/>
                    <pic:cNvPicPr/>
                  </pic:nvPicPr>
                  <pic:blipFill rotWithShape="1">
                    <a:blip r:embed="rId55"/>
                    <a:stretch/>
                  </pic:blipFill>
                  <pic:spPr>
                    <a:xfrm flipH="0" flipV="0">
                      <a:off x="0" y="0"/>
                      <a:ext cx="21145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4" w:name="_hidden:hidden1790050687769"/>
      <w:r>
        <w:rPr>
          <w:color w:val="262626"/>
        </w:rPr>
        <w:drawing>
          <wp:inline distT="0" distB="0" distL="0" distR="0">
            <wp:extent cx="2133600" cy="2076450"/>
            <wp:effectExtent l="0" t="0" r="0" b="0"/>
            <wp:docPr id="14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44" name="picture" descr="descript"/>
                    <pic:cNvPicPr/>
                  </pic:nvPicPr>
                  <pic:blipFill rotWithShape="1">
                    <a:blip r:embed="rId56"/>
                    <a:stretch/>
                  </pic:blipFill>
                  <pic:spPr>
                    <a:xfrm flipH="0" flipV="0">
                      <a:off x="0" y="0"/>
                      <a:ext cx="2133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4"/>
    </w:p>
    <w:p w14:paraId="66837E44">
      <w:pPr>
        <w:numPr>
          <w:ilvl w:val="0"/>
          <w:numId w:val="6"/>
        </w:numPr>
        <w:pBdr/>
        <w:jc w:val="both"/>
        <w:rPr>
          <w:color w:val="262626"/>
        </w:rPr>
      </w:pPr>
      <w:r>
        <w:rPr>
          <w:rFonts w:hint="eastAsia"/>
          <w:color w:val="262626"/>
        </w:rPr>
        <w:t>對應品牌文件夾內，找到盤點主程序源文件。</w:t>
      </w:r>
    </w:p>
    <w:p w14:paraId="5B14663D">
      <w:pPr>
        <w:ind w:left="336"/>
        <w:jc w:val="both"/>
        <w:rPr>
          <w:color w:val="262626"/>
        </w:rPr>
      </w:pPr>
      <w:r>
        <w:rPr>
          <w:color w:val="262626"/>
        </w:rPr>
        <w:drawing>
          <wp:inline distT="0" distB="0" distL="0" distR="0">
            <wp:extent cx="2200275" cy="2276475"/>
            <wp:effectExtent l="0" t="0" r="0" b="0"/>
            <wp:docPr id="14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47" name="picture" descr="descript"/>
                    <pic:cNvPicPr/>
                  </pic:nvPicPr>
                  <pic:blipFill rotWithShape="1">
                    <a:blip r:embed="rId57"/>
                    <a:stretch/>
                  </pic:blipFill>
                  <pic:spPr>
                    <a:xfrm flipH="0" flipV="0">
                      <a:off x="0" y="0"/>
                      <a:ext cx="22002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32A32">
      <w:pPr>
        <w:jc w:val="both"/>
      </w:pPr>
      <w:r>
        <w:rPr>
          <w:b w:val="1"/>
          <w:color w:val="1F3864"/>
        </w:rPr>
        <w:t xml:space="preserve">4. </w:t>
      </w:r>
      <w:r>
        <w:rPr>
          <w:rFonts w:hint="eastAsia"/>
          <w:color w:val="262626"/>
        </w:rPr>
        <w:t>將主程序發送至桌面生成全新快捷方式，重新啟動程序即可正常使用。</w:t>
      </w:r>
    </w:p>
    <w:p w14:paraId="6696998D">
      <w:pPr>
        <w:pStyle w:val="000002"/>
        <w:pBdr>
          <w:top w:val="nil"/>
          <w:left w:val="nil"/>
          <w:bottom w:val="single" w:color="E10600" w:sz="12" w:space="4"/>
          <w:right w:val="nil"/>
        </w:pBdr>
        <w:spacing w:before="360" w:after="200"/>
      </w:pPr>
      <w:bookmarkStart w:id="35" w:name="_Toc240846204"/>
      <w:r>
        <w:rPr>
          <w:rFonts w:hint="eastAsia" w:ascii="Arial" w:hAnsi="Arial" w:eastAsia="黑体"/>
        </w:rPr>
        <w:t>10. 違規處理機制</w:t>
      </w:r>
      <w:bookmarkEnd w:id="35"/>
    </w:p>
    <w:p w14:paraId="3A8DAAD0">
      <w:pPr>
        <w:jc w:val="both"/>
      </w:pPr>
      <w:r>
        <w:rPr>
          <w:b w:val="1"/>
          <w:color w:val="1F3864"/>
        </w:rPr>
        <w:t xml:space="preserve">1. </w:t>
      </w:r>
      <w:r>
        <w:rPr>
          <w:rFonts w:hint="eastAsia"/>
          <w:color w:val="262626"/>
        </w:rPr>
        <w:t>輕度違規：違反崗位紀律、輕微偏離作業標準，首次違規給予口頭提醒、現場指正。</w:t>
      </w:r>
    </w:p>
    <w:p w14:paraId="67DEB950">
      <w:pPr>
        <w:jc w:val="both"/>
      </w:pPr>
      <w:r>
        <w:rPr>
          <w:b w:val="1"/>
          <w:color w:val="1F3864"/>
        </w:rPr>
        <w:t xml:space="preserve">2. </w:t>
      </w:r>
      <w:r>
        <w:rPr>
          <w:rFonts w:hint="eastAsia"/>
          <w:color w:val="262626"/>
        </w:rPr>
        <w:t>中度違規：重複違反倉庫管理守則、屢次出現作業失誤，予以發出正式警告信，記錄在案。</w:t>
      </w:r>
    </w:p>
    <w:p w14:paraId="66782467">
      <w:pPr>
        <w:jc w:val="both"/>
      </w:pPr>
      <w:r>
        <w:rPr>
          <w:b w:val="1"/>
          <w:color w:val="1F3864"/>
        </w:rPr>
        <w:t xml:space="preserve">3. </w:t>
      </w:r>
      <w:r>
        <w:rPr>
          <w:rFonts w:hint="eastAsia"/>
          <w:color w:val="262626"/>
        </w:rPr>
        <w:t>嚴重違規：屢教不改、嚴重違反操作規範、影響倉庫營運效率及貨品安全，將予以辭退處理。</w:t>
      </w:r>
    </w:p>
    <w:p w14:paraId="2A19644D">
      <w:pPr>
        <w:spacing w:before="480"/>
        <w:jc w:val="center"/>
      </w:pPr>
      <w:r>
        <w:rPr>
          <w:rFonts w:hint="eastAsia" w:eastAsia="楷体"/>
          <w:color w:val="595959"/>
          <w:sz w:val="21"/>
        </w:rPr>
        <w:t>—— 本守則適用於澳門區倉庫（RMV）全體員工，請熟讀並嚴格執行 ——</w:t>
      </w:r>
    </w:p>
    <w:sectPr w:rsidR="00D43ACA" w:rsidSect="00034616">
      <w:headerReference r:id="rId7" w:type="default"/>
      <w:footerReference r:id="rId8" w:type="default"/>
      <w:pgSz w:w="11906" w:h="16838"/>
      <w:pgMar w:top="1417" w:right="1417" w:bottom="1417" w:left="141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14="http://schemas.microsoft.com/office/word/2010/wordml" xmlns:w="http://schemas.openxmlformats.org/wordprocessingml/2006/main" xmlns:mc="http://schemas.openxmlformats.org/markup-compatibility/2006" mc:Ignorable="w14">
  <w:endnote w:type="continuationSeparator" w:id="0">
    <w:p w14:paraId="53D1DBAF">
      <w:pPr>
        <w:spacing w:line="240" w:lineRule="auto"/>
      </w:pPr>
      <w:r>
        <w:continuationSeparator/>
      </w:r>
    </w:p>
  </w:endnote>
  <w:endnote w:type="separator" w:id="1">
    <w:p w14:paraId="2F0274A6">
      <w:pPr>
        <w:spacing w:line="240" w:lineRule="auto"/>
      </w:pPr>
      <w:r>
        <w:separator/>
      </w:r>
    </w:p>
  </w:endnote>
</w:endnotes>
</file>

<file path=word/fontTable.xml><?xml version="1.0" encoding="utf-8"?>
<w:fonts xmlns:w="http://schemas.openxmlformats.org/wordprocessingml/2006/main">
  <w:font w:name="Courier">
    <w:panose1 w:val="02070409020205020404"/>
    <w:charset w:val="00" w:characterSet="ISO-8859-1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 w:characterSet="ISO-8859-1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 w:characterSet="ISO-8859-1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 w:characterSet="ISO-8859-1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 w:characterSet="ISO-8859-1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 w:characterSet="ISO-8859-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 w:characterSet="ISO-8859-1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 w:characterSet="ISO-8859-1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0D68849D">
    <w:pPr>
      <w:pStyle w:val="000019"/>
      <w:jc w:val="center"/>
    </w:pPr>
    <w:r>
      <w:rPr>
        <w:rFonts w:hint="eastAsia"/>
        <w:color w:val="595959"/>
        <w:sz w:val="18"/>
      </w:rPr>
      <w:t xml:space="preserve">第 </w:t>
    </w:r>
    <w:r>
      <w:rPr>
        <w:color w:val="595959"/>
        <w:sz w:val="18"/>
      </w:rPr>
      <w:fldChar w:fldCharType="begin"/>
    </w:r>
    <w:r>
      <w:rPr>
        <w:color w:val="595959"/>
        <w:sz w:val="18"/>
      </w:rPr>
      <w:instrText>PAGE</w:instrText>
    </w:r>
    <w:r>
      <w:rPr>
        <w:color w:val="595959"/>
        <w:sz w:val="18"/>
      </w:rPr>
      <w:fldChar w:fldCharType="separate"/>
    </w:r>
    <w:r>
      <w:rPr>
        <w:color w:val="595959"/>
        <w:sz w:val="18"/>
      </w:rPr>
      <w:t>1</w:t>
    </w:r>
    <w:r>
      <w:rPr>
        <w:color w:val="595959"/>
        <w:sz w:val="18"/>
      </w:rPr>
      <w:fldChar w:fldCharType="end"/>
    </w:r>
    <w:r>
      <w:rPr>
        <w:rFonts w:hint="eastAsia"/>
        <w:color w:val="595959"/>
        <w:sz w:val="18"/>
      </w:rPr>
      <w:t xml:space="preserve"> 頁</w:t>
    </w:r>
  </w:p>
</w:ftr>
</file>

<file path=word/footnotes.xml><?xml version="1.0" encoding="utf-8"?>
<w:footnotes xmlns:w14="http://schemas.microsoft.com/office/word/2010/wordml" xmlns:w="http://schemas.openxmlformats.org/wordprocessingml/2006/main" xmlns:mc="http://schemas.openxmlformats.org/markup-compatibility/2006" mc:Ignorable="w14">
  <w:footnote w:type="continuationSeparator" w:id="0">
    <w:p w14:paraId="16DCBD6C">
      <w:pPr>
        <w:spacing w:line="240" w:lineRule="auto"/>
      </w:pPr>
      <w:r>
        <w:continuationSeparator/>
      </w:r>
    </w:p>
  </w:footnote>
  <w:footnote w:type="separator" w:id="1">
    <w:p w14:paraId="2FAD9E38">
      <w:pPr>
        <w:spacing w:line="240" w:lineRule="auto"/>
      </w:pPr>
      <w:r>
        <w:separator/>
      </w:r>
    </w:p>
  </w:footnote>
</w:footnotes>
</file>

<file path=word/header1.xml><?xml version="1.0" encoding="utf-8"?>
<w:hdr xmlns:w14="http://schemas.microsoft.com/office/word/2010/wordml" xmlns:w="http://schemas.openxmlformats.org/wordprocessingml/2006/main" xmlns:mc="http://schemas.openxmlformats.org/markup-compatibility/2006" mc:Ignorable="w14">
  <w:p w14:paraId="63854AB0">
    <w:pPr>
      <w:pStyle w:val="000017"/>
      <w:pBdr>
        <w:top w:val="nil"/>
        <w:left w:val="nil"/>
        <w:bottom w:val="single" w:color="BFBFBF" w:sz="6" w:space="4"/>
        <w:right w:val="nil"/>
      </w:pBdr>
      <w:jc w:val="center"/>
    </w:pPr>
    <w:r>
      <w:rPr>
        <w:rFonts w:hint="eastAsia"/>
        <w:color w:val="595959"/>
        <w:sz w:val="18"/>
      </w:rPr>
      <w:t>FILA RMV 澳門倉庫完整管理守則</w:t>
    </w:r>
  </w:p>
</w:hdr>
</file>

<file path=word/numbering.xml><?xml version="1.0" encoding="utf-8"?>
<w:numbering xmlns:w="http://schemas.openxmlformats.org/wordprocessingml/2006/main">
  <w:abstractNum w:abstractNumId="0">
    <w:nsid w:val="FFFFFF82"/>
    <w:multiLevelType w:val="singleLevel"/>
    <w:tmpl w:val="F3EAFDEC"/>
    <w:lvl w:ilvl="0">
      <w:start w:val="1"/>
      <w:numFmt w:val="bullet"/>
      <w:pStyle w:val="00002f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1">
    <w:nsid w:val="FFFFFF7E"/>
    <w:multiLevelType w:val="singleLevel"/>
    <w:tmpl w:val="FB12693A"/>
    <w:lvl w:ilvl="0">
      <w:start w:val="1"/>
      <w:numFmt w:val="decimal"/>
      <w:pStyle w:val="000035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lvl w:ilvl="3">
      <w:start w:val="1"/>
      <w:numFmt w:val="decimal"/>
      <w:lvlText w:val="%4."/>
      <w:pPr>
        <w:ind w:left="2400" w:hanging="480"/>
      </w:pPr>
      <w:rPr/>
    </w:lvl>
    <w:lvl w:ilvl="0">
      <w:start w:val="1"/>
      <w:numFmt w:val="decimal"/>
      <w:lvlText w:val="%1."/>
      <w:pPr>
        <w:ind w:left="840" w:hanging="360"/>
      </w:pPr>
      <w:rPr/>
    </w:lvl>
    <w:lvl w:ilvl="5">
      <w:start w:val="1"/>
      <w:numFmt w:val="lowerRoman"/>
      <w:lvlText w:val="%6."/>
      <w:pPr>
        <w:ind w:left="3360" w:hanging="480"/>
      </w:pPr>
      <w:rPr/>
    </w:lvl>
    <w:lvl w:ilvl="8">
      <w:start w:val="1"/>
      <w:numFmt w:val="lowerRoman"/>
      <w:lvlText w:val="%9."/>
      <w:pPr>
        <w:ind w:left="4800" w:hanging="480"/>
      </w:pPr>
      <w:rPr/>
    </w:lvl>
    <w:lvl w:ilvl="2">
      <w:start w:val="1"/>
      <w:numFmt w:val="lowerRoman"/>
      <w:lvlText w:val="%3."/>
      <w:pPr>
        <w:ind w:left="1920" w:hanging="480"/>
      </w:pPr>
      <w:rPr/>
    </w:lvl>
    <w:lvl w:ilvl="7">
      <w:start w:val="1"/>
      <w:numFmt w:val="decimal"/>
      <w:lvlText w:val="%8、"/>
      <w:pPr>
        <w:ind w:left="4320" w:hanging="480"/>
      </w:pPr>
      <w:rPr/>
    </w:lvl>
    <w:lvl w:ilvl="4">
      <w:start w:val="1"/>
      <w:numFmt w:val="decimal"/>
      <w:lvlText w:val="%5、"/>
      <w:pPr>
        <w:ind w:left="2880" w:hanging="480"/>
      </w:pPr>
      <w:rPr/>
    </w:lvl>
    <w:lvl w:ilvl="1">
      <w:start w:val="1"/>
      <w:numFmt w:val="decimal"/>
      <w:lvlText w:val="%2、"/>
      <w:pPr>
        <w:ind w:left="1440" w:hanging="480"/>
      </w:pPr>
      <w:rPr/>
    </w:lvl>
    <w:lvl w:ilvl="6">
      <w:start w:val="1"/>
      <w:numFmt w:val="decimal"/>
      <w:lvlText w:val="%7."/>
      <w:pPr>
        <w:ind w:left="3840" w:hanging="480"/>
      </w:pPr>
      <w:rPr/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00002d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7F"/>
    <w:multiLevelType w:val="singleLevel"/>
    <w:tmpl w:val="38441652"/>
    <w:lvl w:ilvl="0">
      <w:start w:val="1"/>
      <w:numFmt w:val="decimal"/>
      <w:pStyle w:val="000033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lvl w:ilvl="3">
      <w:start w:val="1"/>
      <w:numFmt w:val="decimal"/>
      <w:lvlText w:val="%4."/>
      <w:lvlJc w:val="left"/>
      <w:pPr>
        <w:ind w:left="1776" w:hanging="336"/>
      </w:pPr>
    </w:lvl>
    <w:lvl w:ilvl="1">
      <w:start w:val="1"/>
      <w:numFmt w:val="lowerLetter"/>
      <w:lvlText w:val="%2."/>
      <w:lvlJc w:val="left"/>
      <w:pPr>
        <w:ind w:left="816" w:hanging="336"/>
      </w:pPr>
    </w:lvl>
    <w:lvl w:ilvl="4">
      <w:start w:val="1"/>
      <w:numFmt w:val="lowerLetter"/>
      <w:lvlText w:val="%5."/>
      <w:lvlJc w:val="left"/>
      <w:pPr>
        <w:ind w:left="2256" w:hanging="336"/>
      </w:pPr>
    </w:lvl>
    <w:lvl w:ilvl="8">
      <w:start w:val="1"/>
      <w:numFmt w:val="lowerRoman"/>
      <w:lvlText w:val="%9."/>
      <w:lvlJc w:val="left"/>
      <w:pPr>
        <w:ind w:left="4176" w:hanging="336"/>
      </w:pPr>
    </w:lvl>
    <w:lvl w:ilvl="6">
      <w:start w:val="1"/>
      <w:numFmt w:val="decimal"/>
      <w:lvlText w:val="%7."/>
      <w:lvlJc w:val="left"/>
      <w:pPr>
        <w:ind w:left="3216" w:hanging="336"/>
      </w:pPr>
    </w:lvl>
    <w:lvl w:ilvl="7">
      <w:start w:val="1"/>
      <w:numFmt w:val="lowerLetter"/>
      <w:lvlText w:val="%8."/>
      <w:lvlJc w:val="left"/>
      <w:pPr>
        <w:ind w:left="3696" w:hanging="336"/>
      </w:pPr>
    </w:lvl>
    <w:lvl w:ilvl="2">
      <w:start w:val="1"/>
      <w:numFmt w:val="lowerRoman"/>
      <w:lvlText w:val="%3."/>
      <w:lvlJc w:val="left"/>
      <w:pPr>
        <w:ind w:left="1296" w:hanging="336"/>
      </w:pPr>
    </w:lvl>
    <w:lvl w:ilvl="0">
      <w:start w:val="2"/>
      <w:numFmt w:val="decimal"/>
      <w:lvlText w:val="%1."/>
      <w:lvlJc w:val="left"/>
      <w:pPr>
        <w:ind w:left="336" w:hanging="336"/>
      </w:pPr>
      <w:rPr/>
    </w:lvl>
    <w:lvl w:ilvl="5">
      <w:start w:val="1"/>
      <w:numFmt w:val="lowerRoman"/>
      <w:lvlText w:val="%6."/>
      <w:lvlJc w:val="left"/>
      <w:pPr>
        <w:ind w:left="2736" w:hanging="336"/>
      </w:pPr>
    </w:lvl>
  </w:abstractNum>
  <w:abstractNum w:abstractNumId="6">
    <w:lvl w:ilvl="6">
      <w:start w:val="1"/>
      <w:numFmt w:val="decimal"/>
      <w:lvlText w:val="%7."/>
      <w:lvlJc w:val="left"/>
      <w:pPr>
        <w:ind w:left="3216" w:hanging="336"/>
      </w:pPr>
    </w:lvl>
    <w:lvl w:ilvl="1">
      <w:start w:val="1"/>
      <w:numFmt w:val="lowerLetter"/>
      <w:lvlText w:val="%2."/>
      <w:lvlJc w:val="left"/>
      <w:pPr>
        <w:ind w:left="816" w:hanging="336"/>
      </w:pPr>
    </w:lvl>
    <w:lvl w:ilvl="3">
      <w:start w:val="1"/>
      <w:numFmt w:val="decimal"/>
      <w:lvlText w:val="%4."/>
      <w:lvlJc w:val="left"/>
      <w:pPr>
        <w:ind w:left="1776" w:hanging="336"/>
      </w:pPr>
    </w:lvl>
    <w:lvl w:ilvl="7">
      <w:start w:val="1"/>
      <w:numFmt w:val="lowerLetter"/>
      <w:lvlText w:val="%8."/>
      <w:lvlJc w:val="left"/>
      <w:pPr>
        <w:ind w:left="3696" w:hanging="336"/>
      </w:pPr>
    </w:lvl>
    <w:lvl w:ilvl="8">
      <w:start w:val="1"/>
      <w:numFmt w:val="lowerRoman"/>
      <w:lvlText w:val="%9."/>
      <w:lvlJc w:val="left"/>
      <w:pPr>
        <w:ind w:left="4176" w:hanging="336"/>
      </w:pPr>
    </w:lvl>
    <w:lvl w:ilvl="0">
      <w:start w:val="1"/>
      <w:numFmt w:val="decimal"/>
      <w:lvlText w:val="%1."/>
      <w:lvlJc w:val="left"/>
      <w:pPr>
        <w:ind w:left="336" w:hanging="336"/>
      </w:pPr>
      <w:rPr/>
    </w:lvl>
    <w:lvl w:ilvl="2">
      <w:start w:val="1"/>
      <w:numFmt w:val="lowerRoman"/>
      <w:lvlText w:val="%3."/>
      <w:lvlJc w:val="left"/>
      <w:pPr>
        <w:ind w:left="1296" w:hanging="336"/>
      </w:pPr>
    </w:lvl>
    <w:lvl w:ilvl="4">
      <w:start w:val="1"/>
      <w:numFmt w:val="lowerLetter"/>
      <w:lvlText w:val="%5."/>
      <w:lvlJc w:val="left"/>
      <w:pPr>
        <w:ind w:left="2256" w:hanging="336"/>
      </w:pPr>
    </w:lvl>
    <w:lvl w:ilvl="5">
      <w:start w:val="1"/>
      <w:numFmt w:val="lowerRoman"/>
      <w:lvlText w:val="%6."/>
      <w:lvlJc w:val="left"/>
      <w:pPr>
        <w:ind w:left="2736" w:hanging="336"/>
      </w:pPr>
    </w:lvl>
  </w:abstractNum>
  <w:abstractNum w:abstractNumId="7">
    <w:lvl w:ilvl="6">
      <w:start w:val="1"/>
      <w:numFmt w:val="decimal"/>
      <w:lvlText w:val="%7."/>
      <w:lvlJc w:val="left"/>
      <w:pPr>
        <w:ind w:left="3216" w:hanging="336"/>
      </w:pPr>
    </w:lvl>
    <w:lvl w:ilvl="3">
      <w:start w:val="1"/>
      <w:numFmt w:val="decimal"/>
      <w:lvlText w:val="%4."/>
      <w:lvlJc w:val="left"/>
      <w:pPr>
        <w:ind w:left="1776" w:hanging="336"/>
      </w:pPr>
    </w:lvl>
    <w:lvl w:ilvl="7">
      <w:start w:val="1"/>
      <w:numFmt w:val="lowerLetter"/>
      <w:lvlText w:val="%8."/>
      <w:lvlJc w:val="left"/>
      <w:pPr>
        <w:ind w:left="3696" w:hanging="336"/>
      </w:pPr>
    </w:lvl>
    <w:lvl w:ilvl="2">
      <w:start w:val="1"/>
      <w:numFmt w:val="lowerRoman"/>
      <w:lvlText w:val="%3."/>
      <w:lvlJc w:val="left"/>
      <w:pPr>
        <w:ind w:left="1296" w:hanging="336"/>
      </w:pPr>
    </w:lvl>
    <w:lvl w:ilvl="1">
      <w:start w:val="1"/>
      <w:numFmt w:val="lowerLetter"/>
      <w:lvlText w:val="%2."/>
      <w:lvlJc w:val="left"/>
      <w:pPr>
        <w:ind w:left="816" w:hanging="336"/>
      </w:pPr>
    </w:lvl>
    <w:lvl w:ilvl="8">
      <w:start w:val="1"/>
      <w:numFmt w:val="lowerRoman"/>
      <w:lvlText w:val="%9."/>
      <w:lvlJc w:val="left"/>
      <w:pPr>
        <w:ind w:left="4176" w:hanging="336"/>
      </w:pPr>
    </w:lvl>
    <w:lvl w:ilvl="0">
      <w:start w:val="6"/>
      <w:numFmt w:val="decimal"/>
      <w:lvlText w:val="%1."/>
      <w:lvlJc w:val="left"/>
      <w:pPr>
        <w:ind w:left="336" w:hanging="336"/>
      </w:pPr>
      <w:rPr/>
    </w:lvl>
    <w:lvl w:ilvl="4">
      <w:start w:val="1"/>
      <w:numFmt w:val="lowerLetter"/>
      <w:lvlText w:val="%5."/>
      <w:lvlJc w:val="left"/>
      <w:pPr>
        <w:ind w:left="2256" w:hanging="336"/>
      </w:pPr>
    </w:lvl>
    <w:lvl w:ilvl="5">
      <w:start w:val="1"/>
      <w:numFmt w:val="lowerRoman"/>
      <w:lvlText w:val="%6."/>
      <w:lvlJc w:val="left"/>
      <w:pPr>
        <w:ind w:left="2736" w:hanging="336"/>
      </w:pPr>
    </w:lvl>
  </w:abstractNum>
  <w:abstractNum w:abstractNumId="8">
    <w:lvl w:ilvl="7">
      <w:start w:val="1"/>
      <w:numFmt w:val="lowerLetter"/>
      <w:lvlText w:val="%8."/>
      <w:lvlJc w:val="left"/>
      <w:pPr>
        <w:ind w:left="3696" w:hanging="336"/>
      </w:pPr>
    </w:lvl>
    <w:lvl w:ilvl="2">
      <w:start w:val="1"/>
      <w:numFmt w:val="lowerRoman"/>
      <w:lvlText w:val="%3."/>
      <w:lvlJc w:val="left"/>
      <w:pPr>
        <w:ind w:left="1296" w:hanging="336"/>
      </w:pPr>
    </w:lvl>
    <w:lvl w:ilvl="6">
      <w:start w:val="1"/>
      <w:numFmt w:val="decimal"/>
      <w:lvlText w:val="%7."/>
      <w:lvlJc w:val="left"/>
      <w:pPr>
        <w:ind w:left="3216" w:hanging="336"/>
      </w:pPr>
    </w:lvl>
    <w:lvl w:ilvl="4">
      <w:start w:val="1"/>
      <w:numFmt w:val="lowerLetter"/>
      <w:lvlText w:val="%5."/>
      <w:lvlJc w:val="left"/>
      <w:pPr>
        <w:ind w:left="2256" w:hanging="336"/>
      </w:pPr>
    </w:lvl>
    <w:lvl w:ilvl="1">
      <w:start w:val="1"/>
      <w:numFmt w:val="lowerLetter"/>
      <w:lvlText w:val="%2."/>
      <w:lvlJc w:val="left"/>
      <w:pPr>
        <w:ind w:left="816" w:hanging="336"/>
      </w:pPr>
    </w:lvl>
    <w:lvl w:ilvl="8">
      <w:start w:val="1"/>
      <w:numFmt w:val="lowerRoman"/>
      <w:lvlText w:val="%9."/>
      <w:lvlJc w:val="left"/>
      <w:pPr>
        <w:ind w:left="4176" w:hanging="336"/>
      </w:pPr>
    </w:lvl>
    <w:lvl w:ilvl="0">
      <w:start w:val="1"/>
      <w:numFmt w:val="decimal"/>
      <w:lvlText w:val="%1."/>
      <w:lvlJc w:val="left"/>
      <w:pPr>
        <w:ind w:left="336" w:hanging="336"/>
      </w:pPr>
      <w:rPr/>
    </w:lvl>
    <w:lvl w:ilvl="3">
      <w:start w:val="1"/>
      <w:numFmt w:val="decimal"/>
      <w:lvlText w:val="%4."/>
      <w:lvlJc w:val="left"/>
      <w:pPr>
        <w:ind w:left="1776" w:hanging="336"/>
      </w:pPr>
    </w:lvl>
    <w:lvl w:ilvl="5">
      <w:start w:val="1"/>
      <w:numFmt w:val="lowerRoman"/>
      <w:lvlText w:val="%6."/>
      <w:lvlJc w:val="left"/>
      <w:pPr>
        <w:ind w:left="2736" w:hanging="336"/>
      </w:pPr>
    </w:lvl>
  </w:abstractNum>
  <w:abstractNum w:abstractNumId="9">
    <w:nsid w:val="FFFFFF89"/>
    <w:multiLevelType w:val="singleLevel"/>
    <w:tmpl w:val="29761A62"/>
    <w:lvl w:ilvl="0">
      <w:start w:val="1"/>
      <w:numFmt w:val="bullet"/>
      <w:pStyle w:val="00002b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FFFFFF88"/>
    <w:multiLevelType w:val="singleLevel"/>
    <w:tmpl w:val="D0A62B40"/>
    <w:lvl w:ilvl="0">
      <w:start w:val="1"/>
      <w:numFmt w:val="decimal"/>
      <w:pStyle w:val="0000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lvl w:ilvl="3">
      <w:start w:val="1"/>
      <w:numFmt w:val="decimal"/>
      <w:lvlText w:val="%4."/>
      <w:lvlJc w:val="left"/>
      <w:pPr>
        <w:ind w:left="1776" w:hanging="336"/>
      </w:pPr>
    </w:lvl>
    <w:lvl w:ilvl="4">
      <w:start w:val="1"/>
      <w:numFmt w:val="lowerLetter"/>
      <w:lvlText w:val="%5."/>
      <w:lvlJc w:val="left"/>
      <w:pPr>
        <w:ind w:left="2256" w:hanging="336"/>
      </w:pPr>
    </w:lvl>
    <w:lvl w:ilvl="7">
      <w:start w:val="1"/>
      <w:numFmt w:val="lowerLetter"/>
      <w:lvlText w:val="%8."/>
      <w:lvlJc w:val="left"/>
      <w:pPr>
        <w:ind w:left="3696" w:hanging="336"/>
      </w:pPr>
    </w:lvl>
    <w:lvl w:ilvl="0">
      <w:start w:val="1"/>
      <w:numFmt w:val="decimal"/>
      <w:lvlText w:val="%1."/>
      <w:lvlJc w:val="left"/>
      <w:pPr>
        <w:ind w:left="336" w:hanging="336"/>
      </w:pPr>
      <w:rPr/>
    </w:lvl>
    <w:lvl w:ilvl="5">
      <w:start w:val="1"/>
      <w:numFmt w:val="lowerRoman"/>
      <w:lvlText w:val="%6."/>
      <w:lvlJc w:val="left"/>
      <w:pPr>
        <w:ind w:left="2736" w:hanging="336"/>
      </w:pPr>
    </w:lvl>
    <w:lvl w:ilvl="8">
      <w:start w:val="1"/>
      <w:numFmt w:val="lowerRoman"/>
      <w:lvlText w:val="%9."/>
      <w:lvlJc w:val="left"/>
      <w:pPr>
        <w:ind w:left="4176" w:hanging="336"/>
      </w:pPr>
    </w:lvl>
    <w:lvl w:ilvl="2">
      <w:start w:val="1"/>
      <w:numFmt w:val="lowerRoman"/>
      <w:lvlText w:val="%3."/>
      <w:lvlJc w:val="left"/>
      <w:pPr>
        <w:ind w:left="1296" w:hanging="336"/>
      </w:pPr>
    </w:lvl>
    <w:lvl w:ilvl="1">
      <w:start w:val="1"/>
      <w:numFmt w:val="lowerLetter"/>
      <w:lvlText w:val="%2."/>
      <w:lvlJc w:val="left"/>
      <w:pPr>
        <w:ind w:left="816" w:hanging="336"/>
      </w:pPr>
    </w:lvl>
    <w:lvl w:ilvl="6">
      <w:start w:val="1"/>
      <w:numFmt w:val="decimal"/>
      <w:lvlText w:val="%7."/>
      <w:lvlJc w:val="left"/>
      <w:pPr>
        <w:ind w:left="3216" w:hanging="336"/>
      </w:pPr>
    </w:lvl>
  </w:abstractNum>
  <w:num w:numId="9">
    <w:abstractNumId w:val="3"/>
  </w:num>
  <w:num w:numId="11">
    <w:abstractNumId w:val="0"/>
  </w:num>
  <w:num w:numId="2">
    <w:abstractNumId w:val="2"/>
  </w:num>
  <w:num w:numId="3">
    <w:abstractNumId w:val="8"/>
  </w:num>
  <w:num w:numId="4">
    <w:abstractNumId w:val="6"/>
  </w:num>
  <w:num w:numId="12">
    <w:abstractNumId w:val="9"/>
  </w:num>
  <w:num w:numId="10">
    <w:abstractNumId w:val="1"/>
  </w:num>
  <w:num w:numId="6">
    <w:abstractNumId w:val="11"/>
  </w:num>
  <w:num w:numId="1">
    <w:abstractNumId w:val="7"/>
  </w:num>
  <w:num w:numId="5">
    <w:abstractNumId w:val="5"/>
  </w:num>
  <w:num w:numId="8">
    <w:abstractNumId w:val="4"/>
  </w:num>
  <w:num w:numId="7">
    <w:abstractNumId w:val="10"/>
  </w:num>
</w:numbering>
</file>

<file path=word/settings.xml><?xml version="1.0" encoding="utf-8"?>
<w:settings xmlns:w="http://schemas.openxmlformats.org/wordprocessingml/2006/main">
  <w:zoom w:percent="100"/>
  <w:bordersDoNotSurroundHeader w:val="1"/>
  <w:bordersDoNotSurroundFooter w:val="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 w:val="1"/>
    <w:compatSetting w:name="compatibilityMode" w:uri="http://schemas.microsoft.com/office/word" w:val="14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E7B"/>
    <w:rsid w:val="0029639D"/>
    <w:rsid w:val="002E5EE0"/>
    <w:rsid w:val="00326F90"/>
    <w:rsid w:val="00340AA7"/>
    <w:rsid w:val="004560B1"/>
    <w:rsid w:val="004D7347"/>
    <w:rsid w:val="00505F6E"/>
    <w:rsid w:val="005771F8"/>
    <w:rsid w:val="005B5B1E"/>
    <w:rsid w:val="00722B0A"/>
    <w:rsid w:val="007520ED"/>
    <w:rsid w:val="008E6B90"/>
    <w:rsid w:val="00995B56"/>
    <w:rsid w:val="009D04C3"/>
    <w:rsid w:val="00AA1D8D"/>
    <w:rsid w:val="00AD5377"/>
    <w:rsid w:val="00B16C06"/>
    <w:rsid w:val="00B47730"/>
    <w:rsid w:val="00CB0664"/>
    <w:rsid w:val="00D43ACA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Grid Table 1 Light Accent 6" w:uiPriority="46"/>
    <w:lsdException w:name="endnote text" w:semiHidden="1" w:unhideWhenUsed="1"/>
    <w:lsdException w:name="List Table 2" w:uiPriority="47"/>
    <w:lsdException w:name="Medium List 2 Accent 4" w:uiPriority="66"/>
    <w:lsdException w:name="envelope address" w:semiHidden="1" w:unhideWhenUsed="1"/>
    <w:lsdException w:name="List Number" w:semiHidden="1" w:unhideWhenUsed="1"/>
    <w:lsdException w:name="Grid Table 6 Colorful Accent 1" w:uiPriority="51"/>
    <w:lsdException w:name="Grid Table 3 Accent 3" w:uiPriority="48"/>
    <w:lsdException w:name="toc 2" w:uiPriority="39" w:semiHidden="1" w:unhideWhenUsed="1"/>
    <w:lsdException w:name="Colorful Shading Accent 4" w:uiPriority="71"/>
    <w:lsdException w:name="List Bullet 3" w:semiHidden="1" w:unhideWhenUsed="1"/>
    <w:lsdException w:name="Light Shading Accent 1" w:uiPriority="60"/>
    <w:lsdException w:name="index 8" w:semiHidden="1" w:unhideWhenUsed="1"/>
    <w:lsdException w:name="footnote reference" w:semiHidden="1" w:unhideWhenUsed="1"/>
    <w:lsdException w:name="List Table 1 Light Accent 1" w:uiPriority="46"/>
    <w:lsdException w:name="List Table 6 Colorful Accent 3" w:uiPriority="51"/>
    <w:lsdException w:name="Colorful Grid Accent 2" w:uiPriority="73"/>
    <w:lsdException w:name="Medium Shading 2 Accent 4" w:uiPriority="64"/>
    <w:lsdException w:name="List 5" w:semiHidden="1" w:unhideWhenUsed="1"/>
    <w:lsdException w:name="Balloon Text" w:semiHidden="1" w:unhideWhenUsed="1"/>
    <w:lsdException w:name="Medium Shading 2 Accent 3" w:uiPriority="64"/>
    <w:lsdException w:name="Grid Table 5 Dark Accent 5" w:uiPriority="50"/>
    <w:lsdException w:name="Note Heading" w:semiHidden="1" w:unhideWhenUsed="1"/>
    <w:lsdException w:name="Table List 2" w:semiHidden="1" w:unhideWhenUsed="1"/>
    <w:lsdException w:name="Light Grid Accent 1" w:uiPriority="62"/>
    <w:lsdException w:name="Grid Table 5 Dark Accent 4" w:uiPriority="50"/>
    <w:lsdException w:name="List Table 1 Light Accent 2" w:uiPriority="46"/>
    <w:lsdException w:name="Medium Shading 2 Accent 1" w:uiPriority="64"/>
    <w:lsdException w:name="HTML Top of Form" w:semiHidden="1" w:unhideWhenUsed="1"/>
    <w:lsdException w:name="Medium List 2 Accent 5" w:uiPriority="66"/>
    <w:lsdException w:name="Colorful Grid Accent 3" w:uiPriority="73"/>
    <w:lsdException w:name="Grid Table 2 Accent 4" w:uiPriority="47"/>
    <w:lsdException w:name="Table Professional" w:semiHidden="1" w:unhideWhenUsed="1"/>
    <w:lsdException w:name="List Bullet 4" w:semiHidden="1" w:unhideWhenUsed="1"/>
    <w:lsdException w:name="List Table 2 Accent 4" w:uiPriority="47"/>
    <w:lsdException w:name="List Table 7 Colorful Accent 4" w:uiPriority="52"/>
    <w:lsdException w:name="Medium Shading 1 Accent 3" w:uiPriority="63"/>
    <w:lsdException w:name="Mention" w:semiHidden="1" w:unhideWhenUsed="1"/>
    <w:lsdException w:name="Colorful Shading Accent 1" w:uiPriority="71"/>
    <w:lsdException w:name="Smart Link" w:semiHidden="1" w:unhideWhenUsed="1"/>
    <w:lsdException w:name="List Table 1 Light Accent 6" w:uiPriority="46"/>
    <w:lsdException w:name="List Table 2 Accent 6" w:uiPriority="47"/>
    <w:lsdException w:name="Dark List Accent 6" w:uiPriority="70"/>
    <w:lsdException w:name="Colorful Shading Accent 6" w:uiPriority="71"/>
    <w:lsdException w:name="Salutation" w:semiHidden="1" w:unhideWhenUsed="1"/>
    <w:lsdException w:name="Medium Grid 2 Accent 3" w:uiPriority="68"/>
    <w:lsdException w:name="Grid Table 4" w:uiPriority="49"/>
    <w:lsdException w:name="line number" w:semiHidden="1" w:unhideWhenUsed="1"/>
    <w:lsdException w:name="Dark List Accent 3" w:uiPriority="70"/>
    <w:lsdException w:name="Medium List 1 Accent 5" w:uiPriority="65"/>
    <w:lsdException w:name="List Number 4" w:semiHidden="1" w:unhideWhenUsed="1"/>
    <w:lsdException w:name="Table Columns 1" w:semiHidden="1" w:unhideWhenUsed="1"/>
    <w:lsdException w:name="List Continue 4" w:semiHidden="1" w:unhideWhenUsed="1"/>
    <w:lsdException w:name="List Table 5 Dark Accent 3" w:uiPriority="50"/>
    <w:lsdException w:name="Grid Table 4 Accent 5" w:uiPriority="49"/>
    <w:lsdException w:name="Medium List 1 Accent 1" w:uiPriority="65"/>
    <w:lsdException w:name="Medium Grid 2 Accent 1" w:uiPriority="68"/>
    <w:lsdException w:name="Table Colorful 3" w:semiHidden="1" w:unhideWhenUsed="1"/>
    <w:lsdException w:name="Medium Grid 2" w:uiPriority="68"/>
    <w:lsdException w:name="HTML Sample" w:semiHidden="1" w:unhideWhenUsed="1"/>
    <w:lsdException w:name="Light Shading Accent 3" w:uiPriority="60"/>
    <w:lsdException w:name="Medium List 1 Accent 6" w:uiPriority="65"/>
    <w:lsdException w:name="Intense Emphasis" w:uiPriority="21" w:qFormat="1"/>
    <w:lsdException w:name="toc 6" w:uiPriority="39" w:semiHidden="1" w:unhideWhenUsed="1"/>
    <w:lsdException w:name="Colorful Grid Accent 4" w:uiPriority="73"/>
    <w:lsdException w:name="Table Contemporary" w:semiHidden="1" w:unhideWhenUsed="1"/>
    <w:lsdException w:name="Table Columns 5" w:semiHidden="1" w:unhideWhenUsed="1"/>
    <w:lsdException w:name="index 2" w:semiHidden="1" w:unhideWhenUsed="1"/>
    <w:lsdException w:name="List Number 2" w:semiHidden="1" w:unhideWhenUsed="1"/>
    <w:lsdException w:name="Colorful Grid Accent 1" w:uiPriority="73"/>
    <w:lsdException w:name="Table Columns 4" w:semiHidden="1" w:unhideWhenUsed="1"/>
    <w:lsdException w:name="Table Simple 2" w:semiHidden="1" w:unhideWhenUsed="1"/>
    <w:lsdException w:name="List Table 1 Light Accent 5" w:uiPriority="46"/>
    <w:lsdException w:name="footer" w:semiHidden="1" w:unhideWhenUsed="1"/>
    <w:lsdException w:name="Light Grid Accent 6" w:uiPriority="62"/>
    <w:lsdException w:name="caption" w:uiPriority="35" w:semiHidden="1" w:unhideWhenUsed="1" w:qFormat="1"/>
    <w:lsdException w:name="Medium List 1 Accent 4" w:uiPriority="65"/>
    <w:lsdException w:name="Strong" w:uiPriority="22" w:qFormat="1"/>
    <w:lsdException w:name="Light List Accent 1" w:uiPriority="61"/>
    <w:lsdException w:name="heading 1" w:uiPriority="9" w:qFormat="1"/>
    <w:lsdException w:name="Colorful Grid" w:uiPriority="73"/>
    <w:lsdException w:name="Medium Grid 3 Accent 4" w:uiPriority="69"/>
    <w:lsdException w:name="HTML Bottom of Form" w:semiHidden="1" w:unhideWhenUsed="1"/>
    <w:lsdException w:name="Table Elegant" w:semiHidden="1" w:unhideWhenUsed="1"/>
    <w:lsdException w:name="Dark List Accent 2" w:uiPriority="70"/>
    <w:lsdException w:name="Body Text Indent 2" w:semiHidden="1" w:unhideWhenUsed="1"/>
    <w:lsdException w:name="Table List 5" w:semiHidden="1" w:unhideWhenUsed="1"/>
    <w:lsdException w:name="Intense Quote" w:uiPriority="30" w:qFormat="1"/>
    <w:lsdException w:name="HTML Keyboard" w:semiHidden="1" w:unhideWhenUsed="1"/>
    <w:lsdException w:name="List Table 4 Accent 3" w:uiPriority="49"/>
    <w:lsdException w:name="List 4" w:semiHidden="1" w:unhideWhenUsed="1"/>
    <w:lsdException w:name="Default Paragraph Font" w:uiPriority="1" w:semiHidden="1" w:unhideWhenUsed="1"/>
    <w:lsdException w:name="index 3" w:semiHidden="1" w:unhideWhenUsed="1"/>
    <w:lsdException w:name="Medium List 1" w:uiPriority="65"/>
    <w:lsdException w:name="List Number 5" w:semiHidden="1" w:unhideWhenUsed="1"/>
    <w:lsdException w:name="Body Text Indent" w:semiHidden="1" w:unhideWhenUsed="1"/>
    <w:lsdException w:name="Table Classic 1" w:semiHidden="1" w:unhideWhenUsed="1"/>
    <w:lsdException w:name="Light Shading Accent 2" w:uiPriority="60"/>
    <w:lsdException w:name="Outline List 2" w:semiHidden="1" w:unhideWhenUsed="1"/>
    <w:lsdException w:name="Body Text Indent 3" w:semiHidden="1" w:unhideWhenUsed="1"/>
    <w:lsdException w:name="List Table 4 Accent 1" w:uiPriority="49"/>
    <w:lsdException w:name="Placeholder Text" w:semiHidden="1"/>
    <w:lsdException w:name="Hyperlink" w:semiHidden="1" w:unhideWhenUsed="1"/>
    <w:lsdException w:name="heading 4" w:uiPriority="9" w:semiHidden="1" w:unhideWhenUsed="1" w:qFormat="1"/>
    <w:lsdException w:name="Table List 1" w:semiHidden="1" w:unhideWhenUsed="1"/>
    <w:lsdException w:name="List Table 3 Accent 4" w:uiPriority="48"/>
    <w:lsdException w:name="Subtle Reference" w:uiPriority="31" w:qFormat="1"/>
    <w:lsdException w:name="Medium Shading 1 Accent 5" w:uiPriority="63"/>
    <w:lsdException w:name="Colorful Shading" w:uiPriority="71"/>
    <w:lsdException w:name="Colorful List Accent 2" w:uiPriority="72"/>
    <w:lsdException w:name="Table Colorful 2" w:semiHidden="1" w:unhideWhenUsed="1"/>
    <w:lsdException w:name="annotation subject" w:semiHidden="1" w:unhideWhenUsed="1"/>
    <w:lsdException w:name="Grid Table 4 Accent 6" w:uiPriority="49"/>
    <w:lsdException w:name="Table Grid 8" w:semiHidden="1" w:unhideWhenUsed="1"/>
    <w:lsdException w:name="Grid Table 5 Dark" w:uiPriority="50"/>
    <w:lsdException w:name="Medium Grid 3 Accent 1" w:uiPriority="69"/>
    <w:lsdException w:name="List Table 1 Light Accent 3" w:uiPriority="46"/>
    <w:lsdException w:name="List Table 3 Accent 2" w:uiPriority="48"/>
    <w:lsdException w:name="Table Web 3" w:semiHidden="1" w:unhideWhenUsed="1"/>
    <w:lsdException w:name="Light Shading Accent 5" w:uiPriority="60"/>
    <w:lsdException w:name="Table Columns 2" w:semiHidden="1" w:unhideWhenUsed="1"/>
    <w:lsdException w:name="annotation text" w:semiHidden="1" w:unhideWhenUsed="1"/>
    <w:lsdException w:name="Medium Grid 2 Accent 2" w:uiPriority="68"/>
    <w:lsdException w:name="Grid Table 5 Dark Accent 2" w:uiPriority="50"/>
    <w:lsdException w:name="Medium List 1 Accent 3" w:uiPriority="65"/>
    <w:lsdException w:name="Table Grid 4" w:semiHidden="1" w:unhideWhenUsed="1"/>
    <w:lsdException w:name="List Table 3 Accent 3" w:uiPriority="48"/>
    <w:lsdException w:name="List Table 6 Colorful Accent 5" w:uiPriority="51"/>
    <w:lsdException w:name="Body Text 2" w:semiHidden="1" w:unhideWhenUsed="1"/>
    <w:lsdException w:name="List Table 5 Dark" w:uiPriority="50"/>
    <w:lsdException w:name="Grid Table 6 Colorful Accent 5" w:uiPriority="51"/>
    <w:lsdException w:name="Table Grid 1" w:semiHidden="1" w:unhideWhenUsed="1"/>
    <w:lsdException w:name="heading 3" w:uiPriority="9" w:semiHidden="1" w:unhideWhenUsed="1" w:qFormat="1"/>
    <w:lsdException w:name="Table List 3" w:semiHidden="1" w:unhideWhenUsed="1"/>
    <w:lsdException w:name="toc 3" w:uiPriority="39" w:semiHidden="1" w:unhideWhenUsed="1"/>
    <w:lsdException w:name="Grid Table 5 Dark Accent 6" w:uiPriority="50"/>
    <w:lsdException w:name="endnote reference" w:semiHidden="1" w:unhideWhenUsed="1"/>
    <w:lsdException w:name="Colorful List Accent 5" w:uiPriority="72"/>
    <w:lsdException w:name="List Table 3 Accent 1" w:uiPriority="48"/>
    <w:lsdException w:name="Medium Grid 2 Accent 6" w:uiPriority="68"/>
    <w:lsdException w:name="Grid Table 7 Colorful Accent 2" w:uiPriority="52"/>
    <w:lsdException w:name="List Bullet 5" w:semiHidden="1" w:unhideWhenUsed="1"/>
    <w:lsdException w:name="List Bullet" w:semiHidden="1" w:unhideWhenUsed="1"/>
    <w:lsdException w:name="Light List Accent 4" w:uiPriority="61"/>
    <w:lsdException w:name="Table Grid 7" w:semiHidden="1" w:unhideWhenUsed="1"/>
    <w:lsdException w:name="Dark List Accent 5" w:uiPriority="70"/>
    <w:lsdException w:name="List Table 6 Colorful Accent 2" w:uiPriority="51"/>
    <w:lsdException w:name="Grid Table 2 Accent 1" w:uiPriority="47"/>
    <w:lsdException w:name="Grid Table 7 Colorful Accent 5" w:uiPriority="52"/>
    <w:lsdException w:name="Table List 7" w:semiHidden="1" w:unhideWhenUsed="1"/>
    <w:lsdException w:name="Table Grid" w:uiPriority="59"/>
    <w:lsdException w:name="List Table 2 Accent 2" w:uiPriority="47"/>
    <w:lsdException w:name="List Table 7 Colorful Accent 3" w:uiPriority="52"/>
    <w:lsdException w:name="Light List" w:uiPriority="61"/>
    <w:lsdException w:name="TOC Heading" w:uiPriority="39" w:semiHidden="1" w:unhideWhenUsed="1" w:qFormat="1"/>
    <w:lsdException w:name="Document Map" w:semiHidden="1" w:unhideWhenUsed="1"/>
    <w:lsdException w:name="Medium Grid 1 Accent 3" w:uiPriority="67"/>
    <w:lsdException w:name="Medium List 1 Accent 2" w:uiPriority="65"/>
    <w:lsdException w:name="Signature" w:semiHidden="1" w:unhideWhenUsed="1"/>
    <w:lsdException w:name="Grid Table 5 Dark Accent 1" w:uiPriority="50"/>
    <w:lsdException w:name="Revision" w:semiHidden="1"/>
    <w:lsdException w:name="Medium List 2 Accent 1" w:uiPriority="66"/>
    <w:lsdException w:name="HTML Acronym" w:semiHidden="1" w:unhideWhenUsed="1"/>
    <w:lsdException w:name="Grid Table 2 Accent 6" w:uiPriority="47"/>
    <w:lsdException w:name="Table Classic 3" w:semiHidden="1" w:unhideWhenUsed="1"/>
    <w:lsdException w:name="annotation reference" w:semiHidden="1" w:unhideWhenUsed="1"/>
    <w:lsdException w:name="List Table 5 Dark Accent 4" w:uiPriority="50"/>
    <w:lsdException w:name="Grid Table 1 Light Accent 2" w:uiPriority="46"/>
    <w:lsdException w:name="Table Subtle 2" w:semiHidden="1" w:unhideWhenUsed="1"/>
    <w:lsdException w:name="Medium List 2 Accent 3" w:uiPriority="66"/>
    <w:lsdException w:name="List Table 7 Colorful Accent 5" w:uiPriority="52"/>
    <w:lsdException w:name="Table Simple 3" w:semiHidden="1" w:unhideWhenUsed="1"/>
    <w:lsdException w:name="Light List Accent 5" w:uiPriority="61"/>
    <w:lsdException w:name="Grid Table 4 Accent 2" w:uiPriority="49"/>
    <w:lsdException w:name="Medium Grid 1 Accent 2" w:uiPriority="67"/>
    <w:lsdException w:name="Grid Table 4 Accent 1" w:uiPriority="49"/>
    <w:lsdException w:name="List Table 6 Colorful" w:uiPriority="51"/>
    <w:lsdException w:name="Outline List 3" w:semiHidden="1" w:unhideWhenUsed="1"/>
    <w:lsdException w:name="Grid Table 7 Colorful Accent 6" w:uiPriority="52"/>
    <w:lsdException w:name="Dark List" w:uiPriority="70"/>
    <w:lsdException w:name="Emphasis" w:uiPriority="20" w:qFormat="1"/>
    <w:lsdException w:name="toc 8" w:uiPriority="39" w:semiHidden="1" w:unhideWhenUsed="1"/>
    <w:lsdException w:name="Book Title" w:uiPriority="33" w:qFormat="1"/>
    <w:lsdException w:name="Body Text 3" w:semiHidden="1" w:unhideWhenUsed="1"/>
    <w:lsdException w:name="Intense Reference" w:uiPriority="32" w:qFormat="1"/>
    <w:lsdException w:name="Light List Accent 6" w:uiPriority="61"/>
    <w:lsdException w:name="List Table 2 Accent 3" w:uiPriority="47"/>
    <w:lsdException w:name="Table Subtle 1" w:semiHidden="1" w:unhideWhenUsed="1"/>
    <w:lsdException w:name="Table Classic 4" w:semiHidden="1" w:unhideWhenUsed="1"/>
    <w:lsdException w:name="List Table 4 Accent 2" w:uiPriority="49"/>
    <w:lsdException w:name="FollowedHyperlink" w:semiHidden="1" w:unhideWhenUsed="1"/>
    <w:lsdException w:name="List Table 5 Dark Accent 5" w:uiPriority="50"/>
    <w:lsdException w:name="List Table 1 Light" w:uiPriority="46"/>
    <w:lsdException w:name="HTML Definition" w:semiHidden="1" w:unhideWhenUsed="1"/>
    <w:lsdException w:name="HTML Cite" w:semiHidden="1" w:unhideWhenUsed="1"/>
    <w:lsdException w:name="Medium Grid 1 Accent 5" w:uiPriority="67"/>
    <w:lsdException w:name="Light Shading" w:uiPriority="60"/>
    <w:lsdException w:name="Colorful List Accent 6" w:uiPriority="72"/>
    <w:lsdException w:name="Medium List 2" w:uiPriority="66"/>
    <w:lsdException w:name="toa heading" w:semiHidden="1" w:unhideWhenUsed="1"/>
    <w:lsdException w:name="Table 3D effects 2" w:semiHidden="1" w:unhideWhenUsed="1"/>
    <w:lsdException w:name="Body Text First Indent" w:semiHidden="1" w:unhideWhenUsed="1"/>
    <w:lsdException w:name="Unresolved Mention" w:semiHidden="1" w:unhideWhenUsed="1"/>
    <w:lsdException w:name="Table Simple 1" w:semiHidden="1" w:unhideWhenUsed="1"/>
    <w:lsdException w:name="Medium Shading 1 Accent 4" w:uiPriority="63"/>
    <w:lsdException w:name="Medium Shading 2 Accent 6" w:uiPriority="64"/>
    <w:lsdException w:name="Grid Table 4 Accent 3" w:uiPriority="49"/>
    <w:lsdException w:name="heading 7" w:uiPriority="9" w:semiHidden="1" w:unhideWhenUsed="1" w:qFormat="1"/>
    <w:lsdException w:name="toc 1" w:uiPriority="39" w:semiHidden="1" w:unhideWhenUsed="1"/>
    <w:lsdException w:name="Subtitle" w:uiPriority="11" w:qFormat="1"/>
    <w:lsdException w:name="Medium Shading 1 Accent 2" w:uiPriority="63"/>
    <w:lsdException w:name="page number" w:semiHidden="1" w:unhideWhenUsed="1"/>
    <w:lsdException w:name="index heading" w:semiHidden="1" w:unhideWhenUsed="1"/>
    <w:lsdException w:name="Colorful Shading Accent 3" w:uiPriority="71"/>
    <w:lsdException w:name="List Continue 2" w:semiHidden="1" w:unhideWhenUsed="1"/>
    <w:lsdException w:name="Table Theme" w:semiHidden="1" w:unhideWhenUsed="1"/>
    <w:lsdException w:name="Table List 8" w:semiHidden="1" w:unhideWhenUsed="1"/>
    <w:lsdException w:name="Medium Grid 1 Accent 6" w:uiPriority="67"/>
    <w:lsdException w:name="List Table 3 Accent 5" w:uiPriority="48"/>
    <w:lsdException w:name="Medium Grid 3 Accent 3" w:uiPriority="69"/>
    <w:lsdException w:name="Grid Table 6 Colorful Accent 4" w:uiPriority="51"/>
    <w:lsdException w:name="Light List Accent 3" w:uiPriority="61"/>
    <w:lsdException w:name="List Table 3" w:uiPriority="48"/>
    <w:lsdException w:name="Colorful List Accent 4" w:uiPriority="72"/>
    <w:lsdException w:name="List Table 5 Dark Accent 6" w:uiPriority="50"/>
    <w:lsdException w:name="List Table 4 Accent 5" w:uiPriority="49"/>
    <w:lsdException w:name="Plain Text" w:semiHidden="1" w:unhideWhenUsed="1"/>
    <w:lsdException w:name="Grid Table 1 Light Accent 1" w:uiPriority="46"/>
    <w:lsdException w:name="Block Text" w:semiHidden="1" w:unhideWhenUsed="1"/>
    <w:lsdException w:name="List Table 2 Accent 1" w:uiPriority="47"/>
    <w:lsdException w:name="List Table 7 Colorful Accent 2" w:uiPriority="52"/>
    <w:lsdException w:name="Grid Table 1 Light Accent 5" w:uiPriority="46"/>
    <w:lsdException w:name="HTML Code" w:semiHidden="1" w:unhideWhenUsed="1"/>
    <w:lsdException w:name="Table List 6" w:semiHidden="1" w:unhideWhenUsed="1"/>
    <w:lsdException w:name="heading 9" w:uiPriority="9" w:semiHidden="1" w:unhideWhenUsed="1" w:qFormat="1"/>
    <w:lsdException w:name="Body Text" w:semiHidden="1" w:unhideWhenUsed="1"/>
    <w:lsdException w:name="Medium Grid 3 Accent 6" w:uiPriority="69"/>
    <w:lsdException w:name="Grid Table 2 Accent 3" w:uiPriority="47"/>
    <w:lsdException w:name="Closing" w:semiHidden="1" w:unhideWhenUsed="1"/>
    <w:lsdException w:name="E-mail Signature" w:semiHidden="1" w:unhideWhenUsed="1"/>
    <w:lsdException w:name="HTML Preformatted" w:semiHidden="1" w:unhideWhenUsed="1"/>
    <w:lsdException w:name="Medium Shading 2 Accent 2" w:uiPriority="64"/>
    <w:lsdException w:name="Grid Table 7 Colorful Accent 1" w:uiPriority="52"/>
    <w:lsdException w:name="Grid Table 7 Colorful Accent 3" w:uiPriority="52"/>
    <w:lsdException w:name="Medium Grid 1" w:uiPriority="67"/>
    <w:lsdException w:name="Medium Grid 3 Accent 5" w:uiPriority="69"/>
    <w:lsdException w:name="toc 7" w:uiPriority="39" w:semiHidden="1" w:unhideWhenUsed="1"/>
    <w:lsdException w:name="Medium Shading 2" w:uiPriority="64"/>
    <w:lsdException w:name="List 3" w:semiHidden="1" w:unhideWhenUsed="1"/>
    <w:lsdException w:name="Table Classic 2" w:semiHidden="1" w:unhideWhenUsed="1"/>
    <w:lsdException w:name="List Table 6 Colorful Accent 1" w:uiPriority="51"/>
    <w:lsdException w:name="index 5" w:semiHidden="1" w:unhideWhenUsed="1"/>
    <w:lsdException w:name="Table Grid 3" w:semiHidden="1" w:unhideWhenUsed="1"/>
    <w:lsdException w:name="Table 3D effects 1" w:semiHidden="1" w:unhideWhenUsed="1"/>
    <w:lsdException w:name="Colorful Grid Accent 5" w:uiPriority="73"/>
    <w:lsdException w:name="Normal (Web)" w:semiHidden="1" w:unhideWhenUsed="1"/>
    <w:lsdException w:name="heading 6" w:uiPriority="9" w:semiHidden="1" w:unhideWhenUsed="1" w:qFormat="1"/>
    <w:lsdException w:name="HTML Typewriter" w:semiHidden="1" w:unhideWhenUsed="1"/>
    <w:lsdException w:name="macro" w:semiHidden="1" w:unhideWhenUsed="1"/>
    <w:lsdException w:name="HTML Variable" w:semiHidden="1" w:unhideWhenUsed="1"/>
    <w:lsdException w:name="Grid Table 5 Dark Accent 3" w:uiPriority="50"/>
    <w:lsdException w:name="table of figures" w:semiHidden="1" w:unhideWhenUsed="1"/>
    <w:lsdException w:name="Normal Table" w:semiHidden="1" w:unhideWhenUsed="1"/>
    <w:lsdException w:name="Table Columns 3" w:semiHidden="1" w:unhideWhenUsed="1"/>
    <w:lsdException w:name="index 4" w:semiHidden="1" w:unhideWhenUsed="1"/>
    <w:lsdException w:name="List Continue 3" w:semiHidden="1" w:unhideWhenUsed="1"/>
    <w:lsdException w:name="Grid Table 6 Colorful Accent 3" w:uiPriority="51"/>
    <w:lsdException w:name="Light Grid" w:uiPriority="62"/>
    <w:lsdException w:name="List Table 7 Colorful" w:uiPriority="52"/>
    <w:lsdException w:name="Medium Grid 1 Accent 4" w:uiPriority="67"/>
    <w:lsdException w:name="Colorful Shading Accent 5" w:uiPriority="71"/>
    <w:lsdException w:name="Date" w:semiHidden="1" w:unhideWhenUsed="1"/>
    <w:lsdException w:name="Dark List Accent 4" w:uiPriority="70"/>
    <w:lsdException w:name="No Spacing" w:uiPriority="1" w:qFormat="1"/>
    <w:lsdException w:name="Medium Grid 1 Accent 1" w:uiPriority="67"/>
    <w:lsdException w:name="Grid Table 6 Colorful Accent 2" w:uiPriority="51"/>
    <w:lsdException w:name="Grid Table 3 Accent 5" w:uiPriority="48"/>
    <w:lsdException w:name="index 9" w:semiHidden="1" w:unhideWhenUsed="1"/>
    <w:lsdException w:name="header" w:semiHidden="1" w:unhideWhenUsed="1"/>
    <w:lsdException w:name="Grid Table 2 Accent 5" w:uiPriority="47"/>
    <w:lsdException w:name="List Table 6 Colorful Accent 4" w:uiPriority="51"/>
    <w:lsdException w:name="Medium Shading 1 Accent 1" w:uiPriority="63"/>
    <w:lsdException w:name="Light Grid Accent 3" w:uiPriority="62"/>
    <w:lsdException w:name="Smart Hyperlink" w:semiHidden="1" w:unhideWhenUsed="1"/>
    <w:lsdException w:name="List Continue" w:semiHidden="1" w:unhideWhenUsed="1"/>
    <w:lsdException w:name="table of authorities" w:semiHidden="1" w:unhideWhenUsed="1"/>
    <w:lsdException w:name="Grid Table 4 Accent 4" w:uiPriority="49"/>
    <w:lsdException w:name="Normal" w:uiPriority="0" w:qFormat="1"/>
    <w:lsdException w:name="Colorful Grid Accent 6" w:uiPriority="73"/>
    <w:lsdException w:name="Colorful List Accent 3" w:uiPriority="72"/>
    <w:lsdException w:name="List Table 4" w:uiPriority="49"/>
    <w:lsdException w:name="Grid Table 3 Accent 6" w:uiPriority="48"/>
    <w:lsdException w:name="Medium Grid 2 Accent 5" w:uiPriority="68"/>
    <w:lsdException w:name="heading 2" w:uiPriority="9" w:semiHidden="1" w:unhideWhenUsed="1" w:qFormat="1"/>
    <w:lsdException w:name="toc 4" w:uiPriority="39" w:semiHidden="1" w:unhideWhenUsed="1"/>
    <w:lsdException w:name="Quote" w:uiPriority="29" w:qFormat="1"/>
    <w:lsdException w:name="List 2" w:semiHidden="1" w:unhideWhenUsed="1"/>
    <w:lsdException w:name="Colorful Shading Accent 2" w:uiPriority="71"/>
    <w:lsdException w:name="No List" w:semiHidden="1" w:unhideWhenUsed="1"/>
    <w:lsdException w:name="Message Header" w:semiHidden="1" w:unhideWhenUsed="1"/>
    <w:lsdException w:name="List Table 4 Accent 6" w:uiPriority="49"/>
    <w:lsdException w:name="List Table 3 Accent 6" w:uiPriority="48"/>
    <w:lsdException w:name="List Table 7 Colorful Accent 6" w:uiPriority="52"/>
    <w:lsdException w:name="footnote text" w:semiHidden="1" w:unhideWhenUsed="1"/>
    <w:lsdException w:name="heading 8" w:uiPriority="9" w:semiHidden="1" w:unhideWhenUsed="1" w:qFormat="1"/>
    <w:lsdException w:name="Title" w:uiPriority="10" w:qFormat="1"/>
    <w:lsdException w:name="Grid Table 3 Accent 2" w:uiPriority="48"/>
    <w:lsdException w:name="Grid Table 3 Accent 4" w:uiPriority="48"/>
    <w:lsdException w:name="Grid Table 3 Accent 1" w:uiPriority="48"/>
    <w:lsdException w:name="List Table 4 Accent 4" w:uiPriority="49"/>
    <w:lsdException w:name="Table Grid 5" w:semiHidden="1" w:unhideWhenUsed="1"/>
    <w:lsdException w:name="envelope return" w:semiHidden="1" w:unhideWhenUsed="1"/>
    <w:lsdException w:name="Colorful List" w:uiPriority="72"/>
    <w:lsdException w:name="heading 5" w:uiPriority="9" w:semiHidden="1" w:unhideWhenUsed="1" w:qFormat="1"/>
    <w:lsdException w:name="Light Grid Accent 2" w:uiPriority="62"/>
    <w:lsdException w:name="Colorful List Accent 1" w:uiPriority="72"/>
    <w:lsdException w:name="Hashtag" w:semiHidden="1" w:unhideWhenUsed="1"/>
    <w:lsdException w:name="List Table 2 Accent 5" w:uiPriority="47"/>
    <w:lsdException w:name="toc 9" w:uiPriority="39" w:semiHidden="1" w:unhideWhenUsed="1"/>
    <w:lsdException w:name="List Table 7 Colorful Accent 1" w:uiPriority="52"/>
    <w:lsdException w:name="HTML Address" w:semiHidden="1" w:unhideWhenUsed="1"/>
    <w:lsdException w:name="Table Grid 6" w:semiHidden="1" w:unhideWhenUsed="1"/>
    <w:lsdException w:name="Grid Table 1 Light Accent 4" w:uiPriority="46"/>
    <w:lsdException w:name="Light List Accent 2" w:uiPriority="61"/>
    <w:lsdException w:name="List Table 5 Dark Accent 2" w:uiPriority="50"/>
    <w:lsdException w:name="Light Grid Accent 4" w:uiPriority="62"/>
    <w:lsdException w:name="Light Shading Accent 4" w:uiPriority="60"/>
    <w:lsdException w:name="List Paragraph" w:uiPriority="34" w:qFormat="1"/>
    <w:lsdException w:name="Grid Table 7 Colorful" w:uiPriority="52"/>
    <w:lsdException w:name="index 1" w:semiHidden="1" w:unhideWhenUsed="1"/>
    <w:lsdException w:name="Bibliography" w:uiPriority="37" w:semiHidden="1" w:unhideWhenUsed="1"/>
    <w:lsdException w:name="Table Web 1" w:semiHidden="1" w:unhideWhenUsed="1"/>
    <w:lsdException w:name="index 7" w:semiHidden="1" w:unhideWhenUsed="1"/>
    <w:lsdException w:name="List Table 5 Dark Accent 1" w:uiPriority="50"/>
    <w:lsdException w:name="Table 3D effects 3" w:semiHidden="1" w:unhideWhenUsed="1"/>
    <w:lsdException w:name="Medium Grid 3 Accent 2" w:uiPriority="69"/>
    <w:lsdException w:name="List" w:semiHidden="1" w:unhideWhenUsed="1"/>
    <w:lsdException w:name="toc 5" w:uiPriority="39" w:semiHidden="1" w:unhideWhenUsed="1"/>
    <w:lsdException w:name="List Bullet 2" w:semiHidden="1" w:unhideWhenUsed="1"/>
    <w:lsdException w:name="Body Text First Indent 2" w:semiHidden="1" w:unhideWhenUsed="1"/>
    <w:lsdException w:name="Grid Table 2 Accent 2" w:uiPriority="47"/>
    <w:lsdException w:name="List Number 3" w:semiHidden="1" w:unhideWhenUsed="1"/>
    <w:lsdException w:name="Table Grid 2" w:semiHidden="1" w:unhideWhenUsed="1"/>
    <w:lsdException w:name="Subtle Emphasis" w:uiPriority="19" w:qFormat="1"/>
    <w:lsdException w:name="Grid Table 7 Colorful Accent 4" w:uiPriority="52"/>
    <w:lsdException w:name="List Table 1 Light Accent 4" w:uiPriority="46"/>
    <w:lsdException w:name="Light Shading Accent 6" w:uiPriority="60"/>
    <w:lsdException w:name="Table Colorful 1" w:semiHidden="1" w:unhideWhenUsed="1"/>
    <w:lsdException w:name="Grid Table 1 Light Accent 3" w:uiPriority="46"/>
    <w:lsdException w:name="Grid Table 6 Colorful Accent 6" w:uiPriority="51"/>
    <w:lsdException w:name="Grid Table 6 Colorful" w:uiPriority="51"/>
    <w:lsdException w:name="List Table 6 Colorful Accent 6" w:uiPriority="51"/>
    <w:lsdException w:name="Medium List 2 Accent 6" w:uiPriority="66"/>
    <w:lsdException w:name="List Continue 5" w:semiHidden="1" w:unhideWhenUsed="1"/>
    <w:lsdException w:name="Light Grid Accent 5" w:uiPriority="62"/>
    <w:lsdException w:name="Dark List Accent 1" w:uiPriority="70"/>
    <w:lsdException w:name="Medium List 2 Accent 2" w:uiPriority="66"/>
    <w:lsdException w:name="index 6" w:semiHidden="1" w:unhideWhenUsed="1"/>
    <w:lsdException w:name="Outline List 1" w:semiHidden="1" w:unhideWhenUsed="1"/>
    <w:lsdException w:name="Medium Shading 1" w:uiPriority="63"/>
    <w:lsdException w:name="Table List 4" w:semiHidden="1" w:unhideWhenUsed="1"/>
    <w:lsdException w:name="Medium Grid 2 Accent 4" w:uiPriority="68"/>
    <w:lsdException w:name="Medium Shading 2 Accent 5" w:uiPriority="64"/>
    <w:lsdException w:name="Medium Grid 3" w:uiPriority="69"/>
    <w:lsdException w:name="Normal Indent" w:semiHidden="1" w:unhideWhenUsed="1"/>
    <w:lsdException w:name="Medium Shading 1 Accent 6" w:uiPriority="63"/>
    <w:lsdException w:name="Table Web 2" w:semiHidden="1" w:unhideWhenUsed="1"/>
  </w:latentStyles>
  <w:style w:type="character" w:styleId="000007" w:customStyle="1">
    <w:name w:val="标题 3 字符"/>
    <w:basedOn w:val="000014"/>
    <w:link w:val="000006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</w:rPr>
  </w:style>
  <w:style w:type="paragraph" w:styleId="00001c">
    <w:name w:val="Title"/>
    <w:basedOn w:val="000001"/>
    <w:next w:val="000001"/>
    <w:link w:val="00001d"/>
    <w:uiPriority w:val="10"/>
    <w:qFormat w:val="1"/>
    <w:rsid w:val="00FC693F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00001f" w:customStyle="1">
    <w:name w:val="副标题 字符"/>
    <w:basedOn w:val="000014"/>
    <w:link w:val="00001e"/>
    <w:uiPriority w:val="11"/>
    <w:rsid w:val="00FC693F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character" w:styleId="000026" w:customStyle="1">
    <w:name w:val="正文文本 3 字符"/>
    <w:basedOn w:val="000014"/>
    <w:link w:val="000025"/>
    <w:uiPriority w:val="99"/>
    <w:rsid w:val="00AA1D8D"/>
    <w:rPr>
      <w:sz w:val="16"/>
      <w:szCs w:val="16"/>
    </w:rPr>
  </w:style>
  <w:style w:type="table" w:styleId="000068">
    <w:name w:val="Medium Shading 2 Accent 3"/>
    <w:basedOn w:val="000015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character" w:styleId="00003c" w:customStyle="1">
    <w:name w:val="引用 字符"/>
    <w:basedOn w:val="000014"/>
    <w:link w:val="00003b"/>
    <w:uiPriority w:val="29"/>
    <w:rsid w:val="00FC693F"/>
    <w:rPr>
      <w:i w:val="1"/>
      <w:iCs w:val="1"/>
      <w:color w:val="000000" w:themeColor="text1"/>
    </w:rPr>
  </w:style>
  <w:style w:type="table" w:styleId="00006d">
    <w:name w:val="Medium List 1 Accent 1"/>
    <w:basedOn w:val="000015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blPr/>
      <w:tcPr>
        <w:shd w:val="clear" w:color="auto" w:fill="D3DFEE" w:themeFill="accent1" w:themeFillTint="3F"/>
      </w:tc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000083">
    <w:name w:val="Medium Grid 2 Accent 2"/>
    <w:basedOn w:val="000015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8EDED" w:themeFill="accent2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</w:style>
  <w:style w:type="character" w:styleId="00001d" w:customStyle="1">
    <w:name w:val="标题 字符"/>
    <w:basedOn w:val="000014"/>
    <w:link w:val="00001c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a3">
    <w:name w:val="Colorful List Accent 6"/>
    <w:basedOn w:val="000015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 w:val="1"/>
        <w:bCs w:val="1"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DE9D9" w:themeFill="accent6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</w:style>
  <w:style w:type="table" w:styleId="00008c">
    <w:name w:val="Medium Grid 3 Accent 4"/>
    <w:basedOn w:val="000015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</w:style>
  <w:style w:type="paragraph" w:styleId="000020">
    <w:name w:val="List Paragraph"/>
    <w:basedOn w:val="000001"/>
    <w:uiPriority w:val="34"/>
    <w:qFormat w:val="1"/>
    <w:rsid w:val="00FC693F"/>
    <w:pPr>
      <w:ind w:left="720"/>
      <w:contextualSpacing w:val="1"/>
    </w:pPr>
  </w:style>
  <w:style w:type="paragraph" w:styleId="000010">
    <w:name w:val="heading 8"/>
    <w:basedOn w:val="000001"/>
    <w:next w:val="000001"/>
    <w:link w:val="000011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49">
    <w:name w:val="Light Shading"/>
    <w:basedOn w:val="000015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paragraph" w:styleId="000012">
    <w:name w:val="heading 9"/>
    <w:basedOn w:val="000001"/>
    <w:next w:val="000001"/>
    <w:link w:val="000013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8"/>
    </w:pPr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character" w:styleId="00001a" w:customStyle="1">
    <w:name w:val="页脚 字符"/>
    <w:basedOn w:val="000014"/>
    <w:link w:val="000019"/>
    <w:uiPriority w:val="99"/>
    <w:rsid w:val="00E618BF"/>
  </w:style>
  <w:style w:type="table" w:styleId="000065">
    <w:name w:val="Medium Shading 2"/>
    <w:basedOn w:val="000015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051">
    <w:name w:val="Light List Accent 1"/>
    <w:basedOn w:val="000015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lastCol">
      <w:rPr>
        <w:b w:val="1"/>
        <w:bCs w:val="1"/>
      </w:r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050">
    <w:name w:val="Light List"/>
    <w:basedOn w:val="000015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000000" w:themeFill="text1"/>
      </w:tcPr>
    </w:tblStylePr>
  </w:style>
  <w:style w:type="table" w:styleId="00009b">
    <w:name w:val="Colorful Shading Accent 5"/>
    <w:basedOn w:val="000015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neCell">
      <w:rPr>
        <w:color w:val="000000" w:themeColor="text1"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nwCell">
      <w:rPr>
        <w:color w:val="000000" w:themeColor="text1"/>
      </w:rPr>
    </w:tblStylePr>
    <w:tblStylePr w:type="band1Vert">
      <w:tblPr/>
      <w:tcPr>
        <w:shd w:val="clear" w:color="auto" w:fill="B6DDE8" w:themeFill="accent5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</w:style>
  <w:style w:type="table" w:styleId="00009c">
    <w:name w:val="Colorful Shading Accent 6"/>
    <w:basedOn w:val="000015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</w:style>
  <w:style w:type="table" w:styleId="000099">
    <w:name w:val="Colorful Shading Accent 3"/>
    <w:basedOn w:val="000015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000002">
    <w:name w:val="heading 1"/>
    <w:basedOn w:val="000001"/>
    <w:next w:val="000001"/>
    <w:link w:val="000003"/>
    <w:uiPriority w:val="9"/>
    <w:qFormat w:val="1"/>
    <w:rsid w:val="00FC693F"/>
    <w:pPr>
      <w:keepNext w:val="1"/>
      <w:keepLines w:val="1"/>
      <w:spacing w:before="480"/>
      <w:outlineLvl w:val="0"/>
    </w:pPr>
    <w:rPr>
      <w:rFonts w:asciiTheme="majorHAnsi" w:hAnsiTheme="majorHAnsi" w:eastAsiaTheme="majorEastAsia" w:cstheme="majorBidi"/>
      <w:b w:val="1"/>
      <w:bCs w:val="1"/>
      <w:color w:val="1F3864"/>
      <w:sz w:val="32"/>
      <w:szCs w:val="28"/>
    </w:rPr>
  </w:style>
  <w:style w:type="character" w:styleId="000005" w:customStyle="1">
    <w:name w:val="标题 2 字符"/>
    <w:basedOn w:val="000014"/>
    <w:link w:val="000004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</w:rPr>
  </w:style>
  <w:style w:type="table" w:styleId="00006e">
    <w:name w:val="Medium List 1 Accent 2"/>
    <w:basedOn w:val="000015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lastRow">
      <w:rPr>
        <w:b w:val="1"/>
        <w:bCs w:val="1"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</w:style>
  <w:style w:type="paragraph" w:styleId="000023">
    <w:name w:val="Body Text 2"/>
    <w:basedOn w:val="000001"/>
    <w:link w:val="000024"/>
    <w:uiPriority w:val="99"/>
    <w:unhideWhenUsed w:val="1"/>
    <w:rsid w:val="00AA1D8D"/>
    <w:pPr>
      <w:spacing w:after="120" w:line="480" w:lineRule="auto"/>
    </w:pPr>
  </w:style>
  <w:style w:type="character" w:styleId="000014" w:default="1">
    <w:name w:val="Default Paragraph Font"/>
    <w:uiPriority w:val="1"/>
    <w:semiHidden w:val="1"/>
    <w:unhideWhenUsed w:val="1"/>
  </w:style>
  <w:style w:type="paragraph" w:styleId="000031">
    <w:name w:val="List Number"/>
    <w:basedOn w:val="000001"/>
    <w:uiPriority w:val="99"/>
    <w:unhideWhenUsed w:val="1"/>
    <w:rsid w:val="00326F90"/>
    <w:pPr>
      <w:numPr>
        <w:numId w:val="7"/>
      </w:numPr>
      <w:contextualSpacing w:val="1"/>
    </w:pPr>
  </w:style>
  <w:style w:type="table" w:styleId="000094">
    <w:name w:val="Dark List Accent 5"/>
    <w:basedOn w:val="000015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066">
    <w:name w:val="Medium Shading 2 Accent 1"/>
    <w:basedOn w:val="000015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paragraph" w:styleId="00001b">
    <w:name w:val="No Spacing"/>
    <w:uiPriority w:val="1"/>
    <w:qFormat w:val="1"/>
    <w:rsid w:val="00FC693F"/>
    <w:pPr>
      <w:spacing w:after="0" w:line="240" w:lineRule="auto"/>
    </w:pPr>
  </w:style>
  <w:style w:type="paragraph" w:styleId="000033">
    <w:name w:val="List Number 2"/>
    <w:basedOn w:val="000001"/>
    <w:uiPriority w:val="99"/>
    <w:unhideWhenUsed w:val="1"/>
    <w:rsid w:val="0029639D"/>
    <w:pPr>
      <w:numPr>
        <w:numId w:val="8"/>
      </w:numPr>
      <w:contextualSpacing w:val="1"/>
    </w:pPr>
  </w:style>
  <w:style w:type="paragraph" w:styleId="00000e">
    <w:name w:val="heading 7"/>
    <w:basedOn w:val="000001"/>
    <w:next w:val="000001"/>
    <w:link w:val="00000f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6"/>
    </w:pPr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character" w:styleId="000046">
    <w:name w:val="Book Title"/>
    <w:basedOn w:val="000014"/>
    <w:uiPriority w:val="33"/>
    <w:qFormat w:val="1"/>
    <w:rsid w:val="00FC693F"/>
    <w:rPr>
      <w:b w:val="1"/>
      <w:bCs w:val="1"/>
      <w:smallCaps w:val="1"/>
      <w:spacing w:val="5"/>
    </w:rPr>
  </w:style>
  <w:style w:type="table" w:styleId="000082">
    <w:name w:val="Medium Grid 2 Accent 1"/>
    <w:basedOn w:val="000015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DF2F8" w:themeFill="accent1" w:themeFillTint="19"/>
      </w:tcPr>
    </w:tblStylePr>
    <w:tblStylePr w:type="band1Vert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</w:style>
  <w:style w:type="table" w:styleId="000078">
    <w:name w:val="Medium List 2 Accent 5"/>
    <w:basedOn w:val="000015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8d">
    <w:name w:val="Medium Grid 3 Accent 5"/>
    <w:basedOn w:val="000015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0000a9">
    <w:name w:val="Colorful Grid Accent 5"/>
    <w:basedOn w:val="000015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lastRow">
      <w:rPr>
        <w:b w:val="1"/>
        <w:bCs w:val="1"/>
        <w:color w:val="000000" w:themeColor="text1"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</w:style>
  <w:style w:type="character" w:styleId="00003f">
    <w:name w:val="Emphasis"/>
    <w:basedOn w:val="000014"/>
    <w:uiPriority w:val="20"/>
    <w:qFormat w:val="1"/>
    <w:rsid w:val="00FC693F"/>
    <w:rPr>
      <w:i w:val="1"/>
      <w:iCs w:val="1"/>
    </w:rPr>
  </w:style>
  <w:style w:type="paragraph" w:styleId="000021">
    <w:name w:val="Body Text"/>
    <w:basedOn w:val="000001"/>
    <w:link w:val="000022"/>
    <w:uiPriority w:val="99"/>
    <w:unhideWhenUsed w:val="1"/>
    <w:rsid w:val="00AA1D8D"/>
    <w:pPr>
      <w:spacing w:after="120"/>
    </w:pPr>
  </w:style>
  <w:style w:type="table" w:styleId="000048">
    <w:name w:val="Table Grid"/>
    <w:basedOn w:val="000015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00009d">
    <w:name w:val="Colorful List"/>
    <w:basedOn w:val="000015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CCCCCC" w:themeFill="text1" w:themeFillTint="33"/>
      </w:tc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0a6">
    <w:name w:val="Colorful Grid Accent 2"/>
    <w:basedOn w:val="000015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paragraph" w:styleId="000017">
    <w:name w:val="header"/>
    <w:basedOn w:val="000001"/>
    <w:link w:val="000018"/>
    <w:uiPriority w:val="99"/>
    <w:unhideWhenUsed w:val="1"/>
    <w:rsid w:val="00E618BF"/>
    <w:pPr>
      <w:tabs>
        <w:tab w:val="center" w:pos="4680"/>
        <w:tab w:val="right" w:pos="9360"/>
      </w:tabs>
      <w:spacing w:line="240" w:lineRule="auto"/>
    </w:pPr>
  </w:style>
  <w:style w:type="table" w:styleId="000087">
    <w:name w:val="Medium Grid 2 Accent 6"/>
    <w:basedOn w:val="000015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EF4EC" w:themeFill="accent6" w:themeFillTint="19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a1">
    <w:name w:val="Colorful List Accent 4"/>
    <w:basedOn w:val="000015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lastCol">
      <w:rPr>
        <w:b w:val="1"/>
        <w:bCs w:val="1"/>
      </w:r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052">
    <w:name w:val="Light List Accent 2"/>
    <w:basedOn w:val="000015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000096">
    <w:name w:val="Colorful Shading"/>
    <w:basedOn w:val="000015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band1Horz">
      <w:tblPr/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band1Vert"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neCell">
      <w:rPr>
        <w:color w:val="000000" w:themeColor="text1"/>
      </w:rPr>
    </w:tblStylePr>
  </w:style>
  <w:style w:type="table" w:styleId="00004b">
    <w:name w:val="Light Shading Accent 2"/>
    <w:basedOn w:val="000015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</w:style>
  <w:style w:type="paragraph" w:styleId="0000ac">
    <w:name w:val="toc 2"/>
    <w:basedOn w:val="000001"/>
    <w:next w:val="000001"/>
    <w:autoRedefine w:val="1"/>
    <w:uiPriority w:val="39"/>
    <w:unhideWhenUsed w:val="1"/>
    <w:rsid w:val="00722B0A"/>
    <w:pPr>
      <w:ind w:left="420" w:leftChars="200"/>
    </w:pPr>
  </w:style>
  <w:style w:type="table" w:styleId="000061">
    <w:name w:val="Medium Shading 1 Accent 3"/>
    <w:basedOn w:val="000015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band1Vert">
      <w:tblPr/>
      <w:tcPr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</w:style>
  <w:style w:type="paragraph" w:styleId="000001" w:default="1">
    <w:name w:val="Normal"/>
    <w:qFormat w:val="1"/>
    <w:rsid w:val="00FC693F"/>
    <w:pPr>
      <w:spacing w:after="0" w:line="360" w:lineRule="auto"/>
    </w:pPr>
    <w:rPr>
      <w:rFonts w:ascii="Arial" w:hAnsi="Arial" w:eastAsia="宋体"/>
      <w:sz w:val="24"/>
    </w:rPr>
  </w:style>
  <w:style w:type="character" w:styleId="00003e">
    <w:name w:val="Strong"/>
    <w:basedOn w:val="000014"/>
    <w:uiPriority w:val="22"/>
    <w:qFormat w:val="1"/>
    <w:rsid w:val="00FC693F"/>
    <w:rPr>
      <w:b w:val="1"/>
      <w:bCs w:val="1"/>
    </w:rPr>
  </w:style>
  <w:style w:type="table" w:styleId="00008e">
    <w:name w:val="Medium Grid 3 Accent 6"/>
    <w:basedOn w:val="000015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</w:style>
  <w:style w:type="paragraph" w:styleId="000027">
    <w:name w:val="List"/>
    <w:basedOn w:val="000001"/>
    <w:uiPriority w:val="99"/>
    <w:unhideWhenUsed w:val="1"/>
    <w:rsid w:val="00AA1D8D"/>
    <w:pPr>
      <w:ind w:left="360" w:hanging="360"/>
      <w:contextualSpacing w:val="1"/>
    </w:pPr>
  </w:style>
  <w:style w:type="character" w:styleId="0000ad">
    <w:name w:val="Hyperlink"/>
    <w:basedOn w:val="000014"/>
    <w:uiPriority w:val="99"/>
    <w:unhideWhenUsed w:val="1"/>
    <w:rsid w:val="00722B0A"/>
    <w:rPr>
      <w:color w:val="0000FF" w:themeColor="hyperlink"/>
      <w:u w:val="single"/>
    </w:rPr>
  </w:style>
  <w:style w:type="paragraph" w:styleId="00002d">
    <w:name w:val="List Bullet 2"/>
    <w:basedOn w:val="000001"/>
    <w:uiPriority w:val="99"/>
    <w:unhideWhenUsed w:val="1"/>
    <w:rsid w:val="00326F90"/>
    <w:pPr>
      <w:numPr>
        <w:numId w:val="9"/>
      </w:numPr>
      <w:contextualSpacing w:val="1"/>
    </w:pPr>
  </w:style>
  <w:style w:type="paragraph" w:styleId="000008">
    <w:name w:val="heading 4"/>
    <w:basedOn w:val="000001"/>
    <w:next w:val="000001"/>
    <w:link w:val="000009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3"/>
    </w:pPr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character" w:styleId="000022" w:customStyle="1">
    <w:name w:val="正文文本 字符"/>
    <w:basedOn w:val="000014"/>
    <w:link w:val="000021"/>
    <w:uiPriority w:val="99"/>
    <w:rsid w:val="00AA1D8D"/>
  </w:style>
  <w:style w:type="table" w:styleId="00004a">
    <w:name w:val="Light Shading Accent 1"/>
    <w:basedOn w:val="000015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0000a7">
    <w:name w:val="Colorful Grid Accent 3"/>
    <w:basedOn w:val="000015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D6E3BC" w:themeFill="accent3" w:themeFillTint="66"/>
      </w:tcPr>
    </w:tblStyle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paragraph" w:styleId="000037">
    <w:name w:val="List Continue 2"/>
    <w:basedOn w:val="000001"/>
    <w:uiPriority w:val="99"/>
    <w:unhideWhenUsed w:val="1"/>
    <w:rsid w:val="0029639D"/>
    <w:pPr>
      <w:spacing w:after="120"/>
      <w:ind w:left="720"/>
      <w:contextualSpacing w:val="1"/>
    </w:pPr>
  </w:style>
  <w:style w:type="table" w:styleId="000093">
    <w:name w:val="Dark List Accent 4"/>
    <w:basedOn w:val="000015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</w:style>
  <w:style w:type="paragraph" w:styleId="00000c">
    <w:name w:val="heading 6"/>
    <w:basedOn w:val="000001"/>
    <w:next w:val="000001"/>
    <w:link w:val="00000d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5"/>
    </w:pPr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character" w:styleId="000043">
    <w:name w:val="Intense Emphasis"/>
    <w:basedOn w:val="000014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table" w:styleId="000067">
    <w:name w:val="Medium Shading 2 Accent 2"/>
    <w:basedOn w:val="000015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ab">
    <w:name w:val="toc 1"/>
    <w:basedOn w:val="000001"/>
    <w:next w:val="000001"/>
    <w:autoRedefine w:val="1"/>
    <w:uiPriority w:val="39"/>
    <w:unhideWhenUsed w:val="1"/>
    <w:rsid w:val="00722B0A"/>
  </w:style>
  <w:style w:type="character" w:styleId="000042">
    <w:name w:val="Subtle Emphasis"/>
    <w:basedOn w:val="000014"/>
    <w:uiPriority w:val="19"/>
    <w:qFormat w:val="1"/>
    <w:rsid w:val="00FC693F"/>
    <w:rPr>
      <w:i w:val="1"/>
      <w:iCs w:val="1"/>
      <w:color w:val="808080" w:themeColor="text1" w:themeTint="7F"/>
    </w:rPr>
  </w:style>
  <w:style w:type="table" w:styleId="000059">
    <w:name w:val="Light Grid Accent 2"/>
    <w:basedOn w:val="000015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</w:style>
  <w:style w:type="table" w:styleId="000075">
    <w:name w:val="Medium List 2 Accent 2"/>
    <w:basedOn w:val="000015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e">
    <w:name w:val="Medium Grid 1 Accent 4"/>
    <w:basedOn w:val="000015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Col">
      <w:rPr>
        <w:b w:val="1"/>
        <w:bCs w:val="1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  <w:tblStylePr w:type="lastCol">
      <w:rPr>
        <w:b w:val="1"/>
        <w:bCs w:val="1"/>
      </w:rPr>
    </w:tblStylePr>
    <w:tblStylePr w:type="firstRow">
      <w:rPr>
        <w:b w:val="1"/>
        <w:bCs w:val="1"/>
      </w:rPr>
    </w:tblStylePr>
  </w:style>
  <w:style w:type="paragraph" w:styleId="000019">
    <w:name w:val="footer"/>
    <w:basedOn w:val="000001"/>
    <w:link w:val="00001a"/>
    <w:uiPriority w:val="99"/>
    <w:unhideWhenUsed w:val="1"/>
    <w:rsid w:val="00E618BF"/>
    <w:pPr>
      <w:tabs>
        <w:tab w:val="center" w:pos="4680"/>
        <w:tab w:val="right" w:pos="9360"/>
      </w:tabs>
      <w:spacing w:line="240" w:lineRule="auto"/>
    </w:pPr>
  </w:style>
  <w:style w:type="table" w:styleId="00005f">
    <w:name w:val="Medium Shading 1 Accent 1"/>
    <w:basedOn w:val="000015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</w:style>
  <w:style w:type="table" w:styleId="000079">
    <w:name w:val="Medium List 2 Accent 6"/>
    <w:basedOn w:val="000015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a">
    <w:name w:val="Medium Grid 1"/>
    <w:basedOn w:val="000015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 w:val="1"/>
        <w:bCs w:val="1"/>
      </w:rPr>
      <w:tblPr/>
      <w:tcPr>
        <w:tcBorders>
          <w:top w:val="single" w:color="404040" w:themeColor="text1" w:themeTint="BF" w:sz="18" w:space="0"/>
        </w:tcBorders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00004f">
    <w:name w:val="Light Shading Accent 6"/>
    <w:basedOn w:val="000015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000040">
    <w:name w:val="Intense Quote"/>
    <w:basedOn w:val="000001"/>
    <w:next w:val="000001"/>
    <w:link w:val="000041"/>
    <w:uiPriority w:val="30"/>
    <w:qFormat w:val="1"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000044">
    <w:name w:val="Subtle Reference"/>
    <w:basedOn w:val="000014"/>
    <w:uiPriority w:val="31"/>
    <w:qFormat w:val="1"/>
    <w:rsid w:val="00FC693F"/>
    <w:rPr>
      <w:smallCaps w:val="1"/>
      <w:color w:val="C0504D" w:themeColor="accent2"/>
      <w:u w:val="single"/>
    </w:rPr>
  </w:style>
  <w:style w:type="paragraph" w:styleId="000004">
    <w:name w:val="heading 2"/>
    <w:basedOn w:val="000001"/>
    <w:next w:val="000001"/>
    <w:link w:val="000005"/>
    <w:uiPriority w:val="9"/>
    <w:unhideWhenUsed w:val="1"/>
    <w:qFormat w:val="1"/>
    <w:rsid w:val="00FC693F"/>
    <w:pPr>
      <w:keepNext w:val="1"/>
      <w:keepLines w:val="1"/>
      <w:spacing w:before="200"/>
      <w:outlineLvl w:val="1"/>
    </w:pPr>
    <w:rPr>
      <w:rFonts w:asciiTheme="majorHAnsi" w:hAnsiTheme="majorHAnsi" w:eastAsiaTheme="majorEastAsia" w:cstheme="majorBidi"/>
      <w:b w:val="1"/>
      <w:bCs w:val="1"/>
      <w:color w:val="1F3864"/>
      <w:sz w:val="28"/>
      <w:szCs w:val="26"/>
    </w:rPr>
  </w:style>
  <w:style w:type="table" w:styleId="00007b">
    <w:name w:val="Medium Grid 1 Accent 1"/>
    <w:basedOn w:val="000015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  <w:tblStylePr w:type="firstRow">
      <w:rPr>
        <w:b w:val="1"/>
        <w:bCs w:val="1"/>
      </w:rPr>
    </w:tblStylePr>
  </w:style>
  <w:style w:type="table" w:styleId="000085">
    <w:name w:val="Medium Grid 2 Accent 4"/>
    <w:basedOn w:val="000015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2EFF6" w:themeFill="accent4" w:themeFillTint="19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6">
    <w:name w:val="Medium List 2 Accent 3"/>
    <w:basedOn w:val="000015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77">
    <w:name w:val="Medium List 2 Accent 4"/>
    <w:basedOn w:val="000015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58">
    <w:name w:val="Light Grid Accent 1"/>
    <w:basedOn w:val="000015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00005d">
    <w:name w:val="Light Grid Accent 6"/>
    <w:basedOn w:val="000015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paragraph" w:styleId="000006">
    <w:name w:val="heading 3"/>
    <w:basedOn w:val="000001"/>
    <w:next w:val="000001"/>
    <w:link w:val="000007"/>
    <w:uiPriority w:val="9"/>
    <w:unhideWhenUsed w:val="1"/>
    <w:qFormat w:val="1"/>
    <w:rsid w:val="00FC693F"/>
    <w:pPr>
      <w:keepNext w:val="1"/>
      <w:keepLines w:val="1"/>
      <w:spacing w:before="200"/>
      <w:outlineLvl w:val="2"/>
    </w:pPr>
    <w:rPr>
      <w:rFonts w:asciiTheme="majorHAnsi" w:hAnsiTheme="majorHAnsi" w:eastAsiaTheme="majorEastAsia" w:cstheme="majorBidi"/>
      <w:b w:val="1"/>
      <w:bCs w:val="1"/>
      <w:color w:val="262626"/>
    </w:rPr>
  </w:style>
  <w:style w:type="table" w:styleId="000064">
    <w:name w:val="Medium Shading 1 Accent 6"/>
    <w:basedOn w:val="000015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</w:style>
  <w:style w:type="paragraph" w:styleId="00003d">
    <w:name w:val="caption"/>
    <w:basedOn w:val="000001"/>
    <w:next w:val="00000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table" w:styleId="000063">
    <w:name w:val="Medium Shading 1 Accent 5"/>
    <w:basedOn w:val="000015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la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000035">
    <w:name w:val="List Number 3"/>
    <w:basedOn w:val="000001"/>
    <w:uiPriority w:val="99"/>
    <w:unhideWhenUsed w:val="1"/>
    <w:rsid w:val="0029639D"/>
    <w:pPr>
      <w:numPr>
        <w:numId w:val="10"/>
      </w:numPr>
      <w:contextualSpacing w:val="1"/>
    </w:pPr>
  </w:style>
  <w:style w:type="paragraph" w:styleId="00002f">
    <w:name w:val="List Bullet 3"/>
    <w:basedOn w:val="000001"/>
    <w:uiPriority w:val="99"/>
    <w:unhideWhenUsed w:val="1"/>
    <w:rsid w:val="00326F90"/>
    <w:pPr>
      <w:numPr>
        <w:numId w:val="11"/>
      </w:numPr>
      <w:contextualSpacing w:val="1"/>
    </w:pPr>
  </w:style>
  <w:style w:type="table" w:styleId="00008a">
    <w:name w:val="Medium Grid 3 Accent 2"/>
    <w:basedOn w:val="000015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</w:style>
  <w:style w:type="table" w:styleId="000056">
    <w:name w:val="Light List Accent 6"/>
    <w:basedOn w:val="000015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F79646" w:themeFill="accent6"/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0aa">
    <w:name w:val="Colorful Grid Accent 6"/>
    <w:basedOn w:val="000015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FBD4B4" w:themeFill="accent6" w:themeFillTint="66"/>
      </w:tcPr>
    </w:tblStylePr>
  </w:style>
  <w:style w:type="character" w:styleId="00000f" w:customStyle="1">
    <w:name w:val="标题 7 字符"/>
    <w:basedOn w:val="000014"/>
    <w:link w:val="00000e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table" w:styleId="000081">
    <w:name w:val="Medium Grid 2"/>
    <w:basedOn w:val="000015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nwCell">
      <w:tblPr/>
      <w:tcPr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table" w:styleId="00004d">
    <w:name w:val="Light Shading Accent 4"/>
    <w:basedOn w:val="000015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</w:style>
  <w:style w:type="table" w:styleId="000097">
    <w:name w:val="Colorful Shading Accent 1"/>
    <w:basedOn w:val="000015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000070">
    <w:name w:val="Medium List 1 Accent 4"/>
    <w:basedOn w:val="000015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DFD8E8" w:themeFill="accent4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000091">
    <w:name w:val="Dark List Accent 2"/>
    <w:basedOn w:val="000015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character" w:styleId="00000b" w:customStyle="1">
    <w:name w:val="标题 5 字符"/>
    <w:basedOn w:val="000014"/>
    <w:link w:val="00000a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015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069">
    <w:name w:val="Medium Shading 2 Accent 4"/>
    <w:basedOn w:val="000015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00003b">
    <w:name w:val="Quote"/>
    <w:basedOn w:val="000001"/>
    <w:next w:val="000001"/>
    <w:link w:val="00003c"/>
    <w:uiPriority w:val="29"/>
    <w:qFormat w:val="1"/>
    <w:rsid w:val="00FC693F"/>
    <w:rPr>
      <w:i w:val="1"/>
      <w:iCs w:val="1"/>
      <w:color w:val="000000" w:themeColor="text1"/>
    </w:rPr>
  </w:style>
  <w:style w:type="table" w:styleId="0000a5">
    <w:name w:val="Colorful Grid Accent 1"/>
    <w:basedOn w:val="000015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band1Vert">
      <w:tblPr/>
      <w:tcPr>
        <w:shd w:val="clear" w:color="auto" w:fill="A7BFDE" w:themeFill="accent1" w:themeFillTint="7F"/>
      </w:tcPr>
    </w:tblStyle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000071">
    <w:name w:val="Medium List 1 Accent 5"/>
    <w:basedOn w:val="000015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Vert">
      <w:tblPr/>
      <w:tcPr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00009f">
    <w:name w:val="Colorful List Accent 2"/>
    <w:basedOn w:val="000015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band1Horz">
      <w:tblPr/>
      <w:tcPr>
        <w:shd w:val="clear" w:color="auto" w:fill="F2DBDB" w:themeFill="accent2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numbering" w:styleId="000016" w:default="1">
    <w:name w:val="No List"/>
    <w:uiPriority w:val="99"/>
    <w:semiHidden w:val="1"/>
    <w:unhideWhenUsed w:val="1"/>
  </w:style>
  <w:style w:type="table" w:styleId="000084">
    <w:name w:val="Medium Grid 2 Accent 3"/>
    <w:basedOn w:val="000015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 w:val="1"/>
        <w:bCs w:val="1"/>
        <w:color w:val="000000" w:themeColor="text1"/>
      </w:rPr>
      <w:tblPr/>
      <w:tcPr>
        <w:shd w:val="clear" w:color="auto" w:fill="F5F8EE" w:themeFill="accent3" w:themeFillTint="19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000018" w:customStyle="1">
    <w:name w:val="页眉 字符"/>
    <w:basedOn w:val="000014"/>
    <w:link w:val="000017"/>
    <w:uiPriority w:val="99"/>
    <w:rsid w:val="00E618BF"/>
  </w:style>
  <w:style w:type="table" w:styleId="000080">
    <w:name w:val="Medium Grid 1 Accent 6"/>
    <w:basedOn w:val="000015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000036">
    <w:name w:val="List Continue"/>
    <w:basedOn w:val="000001"/>
    <w:uiPriority w:val="99"/>
    <w:unhideWhenUsed w:val="1"/>
    <w:rsid w:val="0029639D"/>
    <w:pPr>
      <w:spacing w:after="120"/>
      <w:ind w:left="360"/>
      <w:contextualSpacing w:val="1"/>
    </w:pPr>
  </w:style>
  <w:style w:type="table" w:styleId="00007d">
    <w:name w:val="Medium Grid 1 Accent 3"/>
    <w:basedOn w:val="000015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lastRow">
      <w:rPr>
        <w:b w:val="1"/>
        <w:bCs w:val="1"/>
      </w:rPr>
      <w:tblPr/>
      <w:tcPr>
        <w:tcBorders>
          <w:top w:val="single" w:color="B3CC82" w:themeColor="accent3" w:themeTint="BF" w:sz="18" w:space="0"/>
        </w:tcBorders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b w:val="1"/>
        <w:bCs w:val="1"/>
      </w:rPr>
    </w:tblStylePr>
  </w:style>
  <w:style w:type="table" w:styleId="000072">
    <w:name w:val="Medium List 1 Accent 6"/>
    <w:basedOn w:val="000015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00007f">
    <w:name w:val="Medium Grid 1 Accent 5"/>
    <w:basedOn w:val="000015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lastCol">
      <w:rPr>
        <w:b w:val="1"/>
        <w:bCs w:val="1"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  <w:tblStylePr w:type="firstRow">
      <w:rPr>
        <w:b w:val="1"/>
        <w:bCs w:val="1"/>
      </w:rPr>
    </w:tblStylePr>
    <w:tblStylePr w:type="band1Vert">
      <w:tblPr/>
      <w:tcPr>
        <w:shd w:val="clear" w:color="auto" w:fill="A5D5E2" w:themeFill="accent5" w:themeFillTint="7F"/>
      </w:tcPr>
    </w:tblStylePr>
  </w:style>
  <w:style w:type="table" w:styleId="00005e">
    <w:name w:val="Medium Shading 1"/>
    <w:basedOn w:val="000015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</w:style>
  <w:style w:type="table" w:styleId="000054">
    <w:name w:val="Light List Accent 4"/>
    <w:basedOn w:val="000015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 w:val="1"/>
        <w:bCs w:val="1"/>
      </w:rPr>
    </w:tblStylePr>
  </w:style>
  <w:style w:type="character" w:styleId="00000d" w:customStyle="1">
    <w:name w:val="标题 6 字符"/>
    <w:basedOn w:val="000014"/>
    <w:link w:val="00000c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table" w:styleId="000060">
    <w:name w:val="Medium Shading 1 Accent 2"/>
    <w:basedOn w:val="000015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 w:val="1"/>
        <w:bCs w:val="1"/>
      </w:rPr>
    </w:tblStylePr>
  </w:style>
  <w:style w:type="character" w:styleId="000011" w:customStyle="1">
    <w:name w:val="标题 8 字符"/>
    <w:basedOn w:val="000014"/>
    <w:link w:val="000010"/>
    <w:uiPriority w:val="9"/>
    <w:semiHidden w:val="1"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7c">
    <w:name w:val="Medium Grid 1 Accent 2"/>
    <w:basedOn w:val="000015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band1Vert">
      <w:tblPr/>
      <w:tcPr>
        <w:shd w:val="clear" w:color="auto" w:fill="DFA7A6" w:themeFill="accent2" w:themeFillTint="7F"/>
      </w:tcPr>
    </w:tblStyle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b w:val="1"/>
        <w:bCs w:val="1"/>
      </w:rPr>
    </w:tblStylePr>
  </w:style>
  <w:style w:type="table" w:styleId="00009a">
    <w:name w:val="Colorful Shading Accent 4"/>
    <w:basedOn w:val="000015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neCell">
      <w:rPr>
        <w:color w:val="000000" w:themeColor="text1"/>
      </w:rPr>
    </w:tblStylePr>
    <w:tblStylePr w:type="band1Vert">
      <w:tblPr/>
      <w:tcPr>
        <w:shd w:val="clear" w:color="auto" w:fill="CCC0D9" w:themeFill="accent4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character" w:styleId="000003" w:customStyle="1">
    <w:name w:val="标题 1 字符"/>
    <w:basedOn w:val="000014"/>
    <w:link w:val="000002"/>
    <w:uiPriority w:val="9"/>
    <w:rsid w:val="00FC693F"/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paragraph" w:styleId="000039">
    <w:name w:val="macro"/>
    <w:link w:val="00003a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000074">
    <w:name w:val="Medium List 2 Accent 1"/>
    <w:basedOn w:val="000015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92">
    <w:name w:val="Dark List Accent 3"/>
    <w:basedOn w:val="000015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073">
    <w:name w:val="Medium List 2"/>
    <w:basedOn w:val="000015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000024" w:customStyle="1">
    <w:name w:val="正文文本 2 字符"/>
    <w:basedOn w:val="000014"/>
    <w:link w:val="000023"/>
    <w:uiPriority w:val="99"/>
    <w:rsid w:val="00AA1D8D"/>
  </w:style>
  <w:style w:type="table" w:styleId="00008f">
    <w:name w:val="Dark List"/>
    <w:basedOn w:val="000015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9e">
    <w:name w:val="Colorful List Accent 1"/>
    <w:basedOn w:val="000015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band1Horz">
      <w:tblPr/>
      <w:tcPr>
        <w:shd w:val="clear" w:color="auto" w:fill="DBE5F1" w:themeFill="accent1" w:themeFillTint="33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character" w:styleId="000041" w:customStyle="1">
    <w:name w:val="明显引用 字符"/>
    <w:basedOn w:val="000014"/>
    <w:link w:val="000040"/>
    <w:uiPriority w:val="30"/>
    <w:rsid w:val="00FC693F"/>
    <w:rPr>
      <w:b w:val="1"/>
      <w:bCs w:val="1"/>
      <w:i w:val="1"/>
      <w:iCs w:val="1"/>
      <w:color w:val="4F81BD" w:themeColor="accent1"/>
    </w:rPr>
  </w:style>
  <w:style w:type="table" w:styleId="00006a">
    <w:name w:val="Medium Shading 2 Accent 5"/>
    <w:basedOn w:val="000015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paragraph" w:styleId="00002b">
    <w:name w:val="List Bullet"/>
    <w:basedOn w:val="000001"/>
    <w:uiPriority w:val="99"/>
    <w:unhideWhenUsed w:val="1"/>
    <w:rsid w:val="00326F90"/>
    <w:pPr>
      <w:numPr>
        <w:numId w:val="12"/>
      </w:numPr>
      <w:contextualSpacing w:val="1"/>
    </w:pPr>
  </w:style>
  <w:style w:type="paragraph" w:styleId="000047">
    <w:name w:val="TOC Heading"/>
    <w:basedOn w:val="000002"/>
    <w:next w:val="000001"/>
    <w:uiPriority w:val="39"/>
    <w:semiHidden w:val="1"/>
    <w:unhideWhenUsed w:val="1"/>
    <w:qFormat w:val="1"/>
    <w:rsid w:val="00FC693F"/>
    <w:pPr>
      <w:outlineLvl w:val="9"/>
    </w:pPr>
  </w:style>
  <w:style w:type="table" w:styleId="000088">
    <w:name w:val="Medium Grid 3"/>
    <w:basedOn w:val="000015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a4">
    <w:name w:val="Colorful Grid"/>
    <w:basedOn w:val="000015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999999" w:themeFill="text1" w:themeFillTint="66"/>
      </w:tcPr>
    </w:tblStylePr>
  </w:style>
  <w:style w:type="table" w:styleId="00006c">
    <w:name w:val="Medium List 1"/>
    <w:basedOn w:val="000015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lastRow">
      <w:rPr>
        <w:b w:val="1"/>
        <w:bCs w:val="1"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band1Horz">
      <w:tblPr/>
      <w:tcPr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</w:style>
  <w:style w:type="paragraph" w:styleId="00000a">
    <w:name w:val="heading 5"/>
    <w:basedOn w:val="000001"/>
    <w:next w:val="000001"/>
    <w:link w:val="00000b"/>
    <w:uiPriority w:val="9"/>
    <w:semiHidden w:val="1"/>
    <w:unhideWhenUsed w:val="1"/>
    <w:qFormat w:val="1"/>
    <w:rsid w:val="00FC693F"/>
    <w:pPr>
      <w:keepNext w:val="1"/>
      <w:keepLines w:val="1"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62">
    <w:name w:val="Medium Shading 1 Accent 4"/>
    <w:basedOn w:val="000015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</w:style>
  <w:style w:type="character" w:styleId="000013" w:customStyle="1">
    <w:name w:val="标题 9 字符"/>
    <w:basedOn w:val="000014"/>
    <w:link w:val="000012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table" w:styleId="00005c">
    <w:name w:val="Light Grid Accent 5"/>
    <w:basedOn w:val="000015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05a">
    <w:name w:val="Light Grid Accent 3"/>
    <w:basedOn w:val="000015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00008b">
    <w:name w:val="Medium Grid 3 Accent 3"/>
    <w:basedOn w:val="000015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</w:style>
  <w:style w:type="character" w:styleId="000009" w:customStyle="1">
    <w:name w:val="标题 4 字符"/>
    <w:basedOn w:val="000014"/>
    <w:link w:val="000008"/>
    <w:uiPriority w:val="9"/>
    <w:semiHidden w:val="1"/>
    <w:rsid w:val="00FC693F"/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paragraph" w:styleId="000025">
    <w:name w:val="Body Text 3"/>
    <w:basedOn w:val="000001"/>
    <w:link w:val="000026"/>
    <w:uiPriority w:val="99"/>
    <w:unhideWhenUsed w:val="1"/>
    <w:rsid w:val="00AA1D8D"/>
    <w:pPr>
      <w:spacing w:after="120"/>
    </w:pPr>
    <w:rPr>
      <w:sz w:val="16"/>
      <w:szCs w:val="16"/>
    </w:rPr>
  </w:style>
  <w:style w:type="table" w:styleId="0000a0">
    <w:name w:val="Colorful List Accent 3"/>
    <w:basedOn w:val="000015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lastRow">
      <w:rPr>
        <w:b w:val="1"/>
        <w:bCs w:val="1"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EAF1DD" w:themeFill="accent3" w:themeFillTint="33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</w:style>
  <w:style w:type="table" w:styleId="00006f">
    <w:name w:val="Medium List 1 Accent 3"/>
    <w:basedOn w:val="000015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Horz">
      <w:tblPr/>
      <w:tcPr>
        <w:shd w:val="clear" w:color="auto" w:fill="E6EED5" w:themeFill="accent3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E6EED5" w:themeFill="accent3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0000a8">
    <w:name w:val="Colorful Grid Accent 4"/>
    <w:basedOn w:val="000015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CCC0D9" w:themeFill="accent4" w:themeFillTint="66"/>
      </w:tcPr>
    </w:tblStyle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000055">
    <w:name w:val="Light List Accent 5"/>
    <w:basedOn w:val="000015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BACC6" w:themeFill="accent5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053">
    <w:name w:val="Light List Accent 3"/>
    <w:basedOn w:val="000015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9BBB59" w:themeFill="accent3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character" w:styleId="00003a" w:customStyle="1">
    <w:name w:val="宏文本 字符"/>
    <w:basedOn w:val="000014"/>
    <w:link w:val="000039"/>
    <w:uiPriority w:val="99"/>
    <w:rsid w:val="0029639D"/>
    <w:rPr>
      <w:rFonts w:ascii="Courier" w:hAnsi="Courier"/>
      <w:sz w:val="20"/>
      <w:szCs w:val="20"/>
    </w:rPr>
  </w:style>
  <w:style w:type="table" w:styleId="000086">
    <w:name w:val="Medium Grid 2 Accent 5"/>
    <w:basedOn w:val="000015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DF6F9" w:themeFill="accent5" w:themeFillTint="19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00001e">
    <w:name w:val="Subtitle"/>
    <w:basedOn w:val="000001"/>
    <w:next w:val="000001"/>
    <w:link w:val="00001f"/>
    <w:uiPriority w:val="11"/>
    <w:qFormat w:val="1"/>
    <w:rsid w:val="00FC693F"/>
    <w:pPr>
      <w:numPr>
        <w:ilvl w:val="1"/>
      </w:numPr>
    </w:pPr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Cs w:val="24"/>
    </w:rPr>
  </w:style>
  <w:style w:type="paragraph" w:styleId="000038">
    <w:name w:val="List Continue 3"/>
    <w:basedOn w:val="000001"/>
    <w:uiPriority w:val="99"/>
    <w:unhideWhenUsed w:val="1"/>
    <w:rsid w:val="0029639D"/>
    <w:pPr>
      <w:spacing w:after="120"/>
      <w:ind w:left="1080"/>
      <w:contextualSpacing w:val="1"/>
    </w:pPr>
  </w:style>
  <w:style w:type="table" w:styleId="00005b">
    <w:name w:val="Light Grid Accent 4"/>
    <w:basedOn w:val="000015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000090">
    <w:name w:val="Dark List Accent 1"/>
    <w:basedOn w:val="000015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</w:style>
  <w:style w:type="paragraph" w:styleId="000029">
    <w:name w:val="List 3"/>
    <w:basedOn w:val="000001"/>
    <w:uiPriority w:val="99"/>
    <w:unhideWhenUsed w:val="1"/>
    <w:rsid w:val="00326F90"/>
    <w:pPr>
      <w:ind w:left="1080" w:hanging="360"/>
      <w:contextualSpacing w:val="1"/>
    </w:pPr>
  </w:style>
  <w:style w:type="table" w:styleId="0000a2">
    <w:name w:val="Colorful List Accent 5"/>
    <w:basedOn w:val="000015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lastRow">
      <w:rPr>
        <w:b w:val="1"/>
        <w:bCs w:val="1"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000098">
    <w:name w:val="Colorful Shading Accent 2"/>
    <w:basedOn w:val="000015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</w:style>
  <w:style w:type="table" w:styleId="000095">
    <w:name w:val="Dark List Accent 6"/>
    <w:basedOn w:val="000015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00004e">
    <w:name w:val="Light Shading Accent 5"/>
    <w:basedOn w:val="000015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table" w:styleId="00006b">
    <w:name w:val="Medium Shading 2 Accent 6"/>
    <w:basedOn w:val="000015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table" w:styleId="00004c">
    <w:name w:val="Light Shading Accent 3"/>
    <w:basedOn w:val="000015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000045">
    <w:name w:val="Intense Reference"/>
    <w:basedOn w:val="000014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table" w:styleId="000057">
    <w:name w:val="Light Grid"/>
    <w:basedOn w:val="000015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</w:style>
  <w:style w:type="table" w:styleId="000089">
    <w:name w:val="Medium Grid 3 Accent 1"/>
    <w:basedOn w:val="000015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</w:style>
  <w:style w:type="paragraph" w:styleId="000028">
    <w:name w:val="List 2"/>
    <w:basedOn w:val="000001"/>
    <w:uiPriority w:val="99"/>
    <w:unhideWhenUsed w:val="1"/>
    <w:rsid w:val="00326F90"/>
    <w:pPr>
      <w:ind w:left="720" w:hanging="360"/>
      <w:contextualSpacing w:val="1"/>
    </w:pPr>
  </w:style>
</w:styles>
</file>

<file path=word/_rels/document.xml.rels><?xml version="1.0" encoding="UTF-8" standalone="yes"?><Relationships xmlns="http://schemas.openxmlformats.org/package/2006/relationships"><Relationship Id="rId9" Type="http://schemas.openxmlformats.org/officeDocument/2006/relationships/image" Target="media/image1.png" /><Relationship Id="rId6" Type="http://schemas.openxmlformats.org/officeDocument/2006/relationships/numbering" Target="numbering.xml" /><Relationship Id="rId56" Type="http://schemas.openxmlformats.org/officeDocument/2006/relationships/image" Target="media/image48.png" /><Relationship Id="rId54" Type="http://schemas.openxmlformats.org/officeDocument/2006/relationships/image" Target="media/image46.png" /><Relationship Id="rId51" Type="http://schemas.openxmlformats.org/officeDocument/2006/relationships/image" Target="media/image43.jpg" /><Relationship Id="rId5" Type="http://schemas.openxmlformats.org/officeDocument/2006/relationships/theme" Target="theme/theme1.xml" /><Relationship Id="rId49" Type="http://schemas.openxmlformats.org/officeDocument/2006/relationships/image" Target="media/image41.jpg" /><Relationship Id="rId48" Type="http://schemas.openxmlformats.org/officeDocument/2006/relationships/image" Target="media/image40.jpg" /><Relationship Id="rId47" Type="http://schemas.openxmlformats.org/officeDocument/2006/relationships/image" Target="media/image39.jpg" /><Relationship Id="rId46" Type="http://schemas.openxmlformats.org/officeDocument/2006/relationships/image" Target="media/image38.jpg" /><Relationship Id="rId45" Type="http://schemas.openxmlformats.org/officeDocument/2006/relationships/image" Target="media/image37.jpg" /><Relationship Id="rId55" Type="http://schemas.openxmlformats.org/officeDocument/2006/relationships/image" Target="media/image47.png" /><Relationship Id="rId44" Type="http://schemas.openxmlformats.org/officeDocument/2006/relationships/image" Target="media/image36.jpg" /><Relationship Id="rId50" Type="http://schemas.openxmlformats.org/officeDocument/2006/relationships/image" Target="media/image42.jpg" /><Relationship Id="rId43" Type="http://schemas.openxmlformats.org/officeDocument/2006/relationships/image" Target="media/image35.jpg" /><Relationship Id="rId41" Type="http://schemas.openxmlformats.org/officeDocument/2006/relationships/image" Target="media/image33.jpg" /><Relationship Id="rId22" Type="http://schemas.openxmlformats.org/officeDocument/2006/relationships/image" Target="media/image14.jpg" /><Relationship Id="rId32" Type="http://schemas.openxmlformats.org/officeDocument/2006/relationships/image" Target="media/image24.jpg" /><Relationship Id="rId21" Type="http://schemas.openxmlformats.org/officeDocument/2006/relationships/image" Target="media/image13.jpg" /><Relationship Id="rId33" Type="http://schemas.openxmlformats.org/officeDocument/2006/relationships/image" Target="media/image25.jpg" /><Relationship Id="rId17" Type="http://schemas.openxmlformats.org/officeDocument/2006/relationships/image" Target="media/image9.jpg" /><Relationship Id="rId15" Type="http://schemas.openxmlformats.org/officeDocument/2006/relationships/image" Target="media/image7.jpg" /><Relationship Id="rId10" Type="http://schemas.openxmlformats.org/officeDocument/2006/relationships/image" Target="media/image2.png" /><Relationship Id="rId19" Type="http://schemas.openxmlformats.org/officeDocument/2006/relationships/image" Target="media/image11.jpg" /><Relationship Id="rId13" Type="http://schemas.openxmlformats.org/officeDocument/2006/relationships/image" Target="media/image5.jpg" /><Relationship Id="rId18" Type="http://schemas.openxmlformats.org/officeDocument/2006/relationships/image" Target="media/image10.png" /><Relationship Id="rId1" Type="http://schemas.openxmlformats.org/officeDocument/2006/relationships/settings" Target="settings.xml" /><Relationship Id="rId16" Type="http://schemas.openxmlformats.org/officeDocument/2006/relationships/image" Target="media/image8.jpg" /><Relationship Id="rId31" Type="http://schemas.openxmlformats.org/officeDocument/2006/relationships/image" Target="media/image23.jpg" /><Relationship Id="rId11" Type="http://schemas.openxmlformats.org/officeDocument/2006/relationships/image" Target="media/image3.jpg" /><Relationship Id="rId0" Type="http://schemas.openxmlformats.org/officeDocument/2006/relationships/styles" Target="styles.xml" /><Relationship Id="rId12" Type="http://schemas.openxmlformats.org/officeDocument/2006/relationships/image" Target="media/image4.jpg" /><Relationship Id="rId24" Type="http://schemas.openxmlformats.org/officeDocument/2006/relationships/image" Target="media/image16.jpg" /><Relationship Id="rId23" Type="http://schemas.openxmlformats.org/officeDocument/2006/relationships/image" Target="media/image15.png" /><Relationship Id="rId8" Type="http://schemas.openxmlformats.org/officeDocument/2006/relationships/footer" Target="footer1.xml" /><Relationship Id="rId36" Type="http://schemas.openxmlformats.org/officeDocument/2006/relationships/image" Target="media/image28.jpg" /><Relationship Id="rId26" Type="http://schemas.openxmlformats.org/officeDocument/2006/relationships/image" Target="media/image18.jpg" /><Relationship Id="rId20" Type="http://schemas.openxmlformats.org/officeDocument/2006/relationships/image" Target="media/image12.jpg" /><Relationship Id="rId29" Type="http://schemas.openxmlformats.org/officeDocument/2006/relationships/image" Target="media/image21.jpg" /><Relationship Id="rId7" Type="http://schemas.openxmlformats.org/officeDocument/2006/relationships/header" Target="header1.xml" /><Relationship Id="rId27" Type="http://schemas.openxmlformats.org/officeDocument/2006/relationships/image" Target="media/image19.jpg" /><Relationship Id="rId3" Type="http://schemas.openxmlformats.org/officeDocument/2006/relationships/endnotes" Target="endnotes.xml" /><Relationship Id="rId28" Type="http://schemas.openxmlformats.org/officeDocument/2006/relationships/image" Target="media/image20.jpg" /><Relationship Id="rId42" Type="http://schemas.openxmlformats.org/officeDocument/2006/relationships/image" Target="media/image34.jpg" /><Relationship Id="rId30" Type="http://schemas.openxmlformats.org/officeDocument/2006/relationships/image" Target="media/image22.jpg" /><Relationship Id="rId4" Type="http://schemas.openxmlformats.org/officeDocument/2006/relationships/fontTable" Target="fontTable.xml" /><Relationship Id="rId34" Type="http://schemas.openxmlformats.org/officeDocument/2006/relationships/image" Target="media/image26.jpg" /><Relationship Id="rId57" Type="http://schemas.openxmlformats.org/officeDocument/2006/relationships/image" Target="media/image49.png" /><Relationship Id="rId53" Type="http://schemas.openxmlformats.org/officeDocument/2006/relationships/image" Target="media/image45.png" /><Relationship Id="rId35" Type="http://schemas.openxmlformats.org/officeDocument/2006/relationships/image" Target="media/image27.jpg" /><Relationship Id="rId40" Type="http://schemas.openxmlformats.org/officeDocument/2006/relationships/image" Target="media/image32.jpg" /><Relationship Id="rId2" Type="http://schemas.openxmlformats.org/officeDocument/2006/relationships/footnotes" Target="footnotes.xml" /><Relationship Id="rId37" Type="http://schemas.openxmlformats.org/officeDocument/2006/relationships/image" Target="media/image29.jpg" /><Relationship Id="rId38" Type="http://schemas.openxmlformats.org/officeDocument/2006/relationships/image" Target="media/image30.jpg" /><Relationship Id="rId52" Type="http://schemas.openxmlformats.org/officeDocument/2006/relationships/image" Target="media/image44.png" /><Relationship Id="rId14" Type="http://schemas.openxmlformats.org/officeDocument/2006/relationships/image" Target="media/image6.jpg" /><Relationship Id="rId25" Type="http://schemas.openxmlformats.org/officeDocument/2006/relationships/image" Target="media/image17.jpg" /><Relationship Id="rId39" Type="http://schemas.openxmlformats.org/officeDocument/2006/relationships/image" Target="media/image3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2026-09-28T18:46:09Z</dcterms:created>
  <dcterms:modified xsi:type="dcterms:W3CDTF">2026-09-28T18:46:09Z</dcterms:modified>
</cp:coreProperties>
</file>